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64" w:type="dxa"/>
        <w:jc w:val="center"/>
        <w:tblInd w:w="0" w:type="dxa"/>
        <w:tblLayout w:type="fixed"/>
        <w:tblCellMar>
          <w:top w:w="0" w:type="dxa"/>
          <w:start w:w="108" w:type="dxa"/>
          <w:bottom w:w="0" w:type="dxa"/>
          <w:end w:w="108" w:type="dxa"/>
        </w:tblCellMar>
      </w:tblPr>
      <w:tblGrid>
        <w:gridCol w:w="685"/>
        <w:gridCol w:w="4222"/>
        <w:gridCol w:w="1978"/>
        <w:gridCol w:w="717"/>
        <w:gridCol w:w="2962"/>
      </w:tblGrid>
      <w:tr>
        <w:trPr>
          <w:trHeight w:val="579" w:hRule="atLeast"/>
        </w:trPr>
        <w:tc>
          <w:tcPr>
            <w:tcW w:w="685" w:type="dxa"/>
            <w:tcBorders>
              <w:top w:val="dashed" w:sz="6" w:space="0" w:color="auto"/>
              <w:start w:val="dashed" w:sz="6" w:space="0" w:color="auto"/>
              <w:bottom w:val="dashed" w:sz="6" w:space="0" w:color="auto"/>
              <w:end w:val="dashed" w:sz="6" w:space="0" w:color="auto"/>
            </w:tcBorders>
          </w:tcPr>
          <w:p>
            <w:pPr>
              <w:pStyle w:val="Normal"/>
              <w:rPr>
                <w:lang w:val="en-CA"/>
              </w:rPr>
            </w:pPr>
            <w:r>
              <w:rPr/>
              <w:drawing>
                <wp:inline distT="0" distB="0" distL="0" distR="0">
                  <wp:extent cx="293370" cy="2921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93370" cy="292100"/>
                          </a:xfrm>
                          <a:prstGeom prst="rect">
                            <a:avLst/>
                          </a:prstGeom>
                          <a:noFill/>
                        </pic:spPr>
                      </pic:pic>
                    </a:graphicData>
                  </a:graphic>
                </wp:inline>
              </w:drawing>
            </w:r>
          </w:p>
          <w:p>
            <w:pPr>
              <w:pStyle w:val="Normal"/>
              <w:rPr>
                <w:lang w:val="en-CA"/>
              </w:rPr>
            </w:pPr>
            <w:r>
              <w:rPr>
                <w:lang w:val="en-CA"/>
              </w:rPr>
            </w:r>
          </w:p>
          <w:p>
            <w:pPr>
              <w:pStyle w:val="Normal"/>
              <w:rPr>
                <w:lang w:val="en-CA"/>
              </w:rPr>
            </w:pPr>
            <w:r>
              <w:rPr>
                <w:lang w:val="en-CA"/>
              </w:rPr>
            </w:r>
          </w:p>
        </w:tc>
        <w:tc>
          <w:tcPr>
            <w:tcW w:w="4222" w:type="dxa"/>
            <w:tcBorders>
              <w:top w:val="dashed" w:sz="6" w:space="0" w:color="auto"/>
              <w:start w:val="dashed" w:sz="6" w:space="0" w:color="auto"/>
              <w:bottom w:val="dashed" w:sz="6" w:space="0" w:color="auto"/>
              <w:end w:val="dashed" w:sz="6" w:space="0" w:color="auto"/>
            </w:tcBorders>
          </w:tcPr>
          <w:p>
            <w:pPr>
              <w:pStyle w:val="Normal"/>
              <w:spacing w:before="120" w:after="0"/>
              <w:rPr>
                <w:rFonts w:ascii="Arial" w:hAnsi="Arial" w:eastAsia="Arial" w:cs="Arial"/>
                <w:sz w:val="24"/>
                <w:szCs w:val="24"/>
              </w:rPr>
            </w:pPr>
            <w:r>
              <w:rPr>
                <w:rFonts w:eastAsia="Arial" w:cs="Arial" w:ascii="Arial" w:hAnsi="Arial"/>
                <w:sz w:val="24"/>
                <w:szCs w:val="24"/>
              </w:rPr>
              <w:t>Mizuho Financial Group</w:t>
            </w:r>
          </w:p>
        </w:tc>
        <w:tc>
          <w:tcPr>
            <w:tcW w:w="1978"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sz w:val="24"/>
                <w:szCs w:val="24"/>
              </w:rPr>
            </w:pPr>
            <w:r>
              <w:rPr>
                <w:rFonts w:eastAsia="Arial" w:cs="Arial" w:ascii="Arial" w:hAnsi="Arial"/>
                <w:sz w:val="24"/>
                <w:szCs w:val="24"/>
              </w:rPr>
            </w:r>
          </w:p>
        </w:tc>
        <w:tc>
          <w:tcPr>
            <w:tcW w:w="717" w:type="dxa"/>
            <w:tcBorders>
              <w:top w:val="dashed" w:sz="6" w:space="0" w:color="auto"/>
              <w:start w:val="dashed" w:sz="6" w:space="0" w:color="auto"/>
              <w:bottom w:val="dashed" w:sz="6" w:space="0" w:color="auto"/>
              <w:end w:val="dashed" w:sz="6" w:space="0" w:color="auto"/>
            </w:tcBorders>
          </w:tcPr>
          <w:p>
            <w:pPr>
              <w:pStyle w:val="Normal"/>
              <w:rPr>
                <w:lang w:val="en-CA"/>
              </w:rPr>
            </w:pPr>
            <w:r>
              <w:rPr>
                <w:lang w:val="en-CA"/>
              </w:rPr>
              <w:drawing>
                <wp:inline distT="0" distB="0" distL="0" distR="0">
                  <wp:extent cx="330835" cy="3435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01" t="1185" r="0" b="0"/>
                          <a:stretch>
                            <a:fillRect/>
                          </a:stretch>
                        </pic:blipFill>
                        <pic:spPr bwMode="auto">
                          <a:xfrm>
                            <a:off x="0" y="0"/>
                            <a:ext cx="330835" cy="343535"/>
                          </a:xfrm>
                          <a:prstGeom prst="rect">
                            <a:avLst/>
                          </a:prstGeom>
                          <a:noFill/>
                        </pic:spPr>
                      </pic:pic>
                    </a:graphicData>
                  </a:graphic>
                </wp:inline>
              </w:drawing>
            </w:r>
          </w:p>
        </w:tc>
        <w:tc>
          <w:tcPr>
            <w:tcW w:w="2962" w:type="dxa"/>
            <w:tcBorders>
              <w:top w:val="dashed" w:sz="6" w:space="0" w:color="auto"/>
              <w:start w:val="dashed" w:sz="6" w:space="0" w:color="auto"/>
              <w:bottom w:val="dashed" w:sz="6" w:space="0" w:color="auto"/>
              <w:end w:val="dashed" w:sz="6" w:space="0" w:color="auto"/>
            </w:tcBorders>
          </w:tcPr>
          <w:p>
            <w:pPr>
              <w:pStyle w:val="Normal"/>
              <w:spacing w:before="120" w:after="0"/>
              <w:rPr>
                <w:rFonts w:ascii="BakerSignet" w:hAnsi="BakerSignet" w:eastAsia="BakerSignet" w:cs="BakerSignet"/>
                <w:sz w:val="28"/>
                <w:szCs w:val="28"/>
              </w:rPr>
            </w:pPr>
            <w:r>
              <w:rPr>
                <w:rFonts w:eastAsia="BakerSignet" w:cs="BakerSignet" w:ascii="BakerSignet" w:hAnsi="BakerSignet"/>
                <w:sz w:val="28"/>
                <w:szCs w:val="28"/>
              </w:rPr>
              <w:t>Reed Wasden Research</w:t>
            </w:r>
          </w:p>
        </w:tc>
      </w:tr>
    </w:tbl>
    <w:p>
      <w:pPr>
        <w:pStyle w:val="Normal"/>
        <w:ind w:end="700"/>
        <w:rPr/>
      </w:pPr>
      <w:r>
        <w:rPr/>
      </w:r>
    </w:p>
    <w:p>
      <w:pPr>
        <w:pStyle w:val="Normal"/>
        <w:jc w:val="end"/>
        <w:rPr>
          <w:rFonts w:ascii="Arial" w:hAnsi="Arial" w:eastAsia="Arial" w:cs="Arial"/>
        </w:rPr>
      </w:pPr>
      <w:r>
        <w:rPr>
          <w:rFonts w:eastAsia="Arial" w:cs="Arial" w:ascii="Arial" w:hAnsi="Arial"/>
        </w:rPr>
        <w:t>Cary D. Wasden (425) 467-1110</w:t>
      </w:r>
    </w:p>
    <w:p>
      <w:pPr>
        <w:pStyle w:val="Normal"/>
        <w:jc w:val="end"/>
        <w:rPr>
          <w:rFonts w:ascii="Arial" w:hAnsi="Arial" w:eastAsia="Arial" w:cs="Arial"/>
        </w:rPr>
      </w:pPr>
      <w:r>
        <w:rPr>
          <w:rFonts w:eastAsia="Arial" w:cs="Arial" w:ascii="Arial" w:hAnsi="Arial"/>
        </w:rPr>
        <w:t>Shun Cai (425) 467-1110</w:t>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b/>
          <w:bCs/>
          <w:sz w:val="24"/>
          <w:szCs w:val="24"/>
        </w:rPr>
      </w:pPr>
      <w:r>
        <w:rPr>
          <w:rFonts w:eastAsia="Arial" w:cs="Arial" w:ascii="Arial" w:hAnsi="Arial"/>
          <w:b/>
          <w:bCs/>
          <w:sz w:val="24"/>
          <w:szCs w:val="24"/>
        </w:rPr>
        <w:t>Calpine and Shell Part Ways in the Lone Star State</w:t>
      </w:r>
    </w:p>
    <w:p>
      <w:pPr>
        <w:pStyle w:val="Normal"/>
        <w:jc w:val="center"/>
        <w:rPr>
          <w:rFonts w:ascii="Arial" w:hAnsi="Arial" w:eastAsia="Arial" w:cs="Arial"/>
        </w:rPr>
      </w:pPr>
      <w:r>
        <w:rPr>
          <w:rFonts w:eastAsia="Arial" w:cs="Arial" w:ascii="Arial" w:hAnsi="Arial"/>
        </w:rPr>
        <w:t>September 6, 2001</w:t>
      </w:r>
    </w:p>
    <w:p>
      <w:pPr>
        <w:pStyle w:val="Normal"/>
        <w:rPr>
          <w:rFonts w:ascii="Arial" w:hAnsi="Arial" w:eastAsia="Arial" w:cs="Arial"/>
        </w:rPr>
      </w:pPr>
      <w:r>
        <w:rPr>
          <w:rFonts w:eastAsia="Arial" w:cs="Arial" w:ascii="Arial" w:hAnsi="Arial"/>
        </w:rPr>
      </w:r>
    </w:p>
    <w:p>
      <w:pPr>
        <w:pStyle w:val="Normal"/>
        <w:rPr/>
      </w:pPr>
      <w:r>
        <w:rPr/>
      </w:r>
    </w:p>
    <w:p>
      <w:pPr>
        <w:pStyle w:val="Normal"/>
        <w:jc w:val="both"/>
        <w:rPr/>
      </w:pPr>
      <w:r>
        <w:rPr/>
        <w:t xml:space="preserve">  </w:t>
      </w:r>
      <w:r>
        <w:rPr>
          <w:b/>
          <w:bCs/>
        </w:rPr>
        <w:t>Shell Energy Services LLC, a subsidiary of Shell Oil Company, announced it will stop selling retail power in Ohio and Texas.</w:t>
      </w:r>
      <w:r>
        <w:rPr/>
        <w:t xml:space="preserve">  The company will transfer its 30,000 Ohio power customers to other marketers and will not participate in the open market phase of the Texas retail choice program when it starts on January 1, 2002.  Shell Energy expects that the slower pace of deregulation in the United States, following the California debacle, will make it difficult for suppliers to be profitable in a reasonable timeframe.  In addition, Shell Energy is on record for expressing its concerns with ongoing problems with the computer and communication systems at the Electric Reliability Council of Texas. </w:t>
      </w:r>
    </w:p>
    <w:p>
      <w:pPr>
        <w:pStyle w:val="Normal"/>
        <w:jc w:val="both"/>
        <w:rPr/>
      </w:pPr>
      <w:r>
        <w:rPr/>
      </w:r>
    </w:p>
    <w:p>
      <w:pPr>
        <w:pStyle w:val="Normal"/>
        <w:jc w:val="both"/>
        <w:rPr/>
      </w:pPr>
      <w:r>
        <w:rPr/>
        <w:t xml:space="preserve">  </w:t>
      </w:r>
      <w:r>
        <w:rPr>
          <w:b/>
          <w:bCs/>
        </w:rPr>
        <w:t>As a result of this announcement, Calpine shares dropped 6.04% closing at US$ 30.66 in September 5 trading.</w:t>
      </w:r>
      <w:r>
        <w:rPr/>
        <w:t xml:space="preserve">  In July, Shell announced a five-year contract to purchase up to 3,000MW of firm energy from Calpine to supply its customers in Texas at market prices.  While this is clearly a setback for Calpine, RWR is comfortable that it will have ample opportunity to sell this power to alternative customers.  Calpine’s capacity is more efficient and has a lower marginal cost of generation than most competitors, which ensures that the company can offer among the most competitive rates for its power.  Calpine’s average heat is estimated as 7,000 Btu/kWh versus an average 0f 12,000 Btu/kWh for older generation facilities.  Calpine has now sold forward only 30% of its Texas 2002 and 2003 anticipated capacity, down from 70%.  Calpine’s existing and planned capacity additions in Texas comprise 7,130MW or 17% of its total portfolio.  </w:t>
      </w:r>
    </w:p>
    <w:p>
      <w:pPr>
        <w:pStyle w:val="Normal"/>
        <w:jc w:val="both"/>
        <w:rPr/>
      </w:pPr>
      <w:r>
        <w:rPr/>
      </w:r>
    </w:p>
    <w:p>
      <w:pPr>
        <w:pStyle w:val="Normal"/>
        <w:jc w:val="both"/>
        <w:rPr/>
      </w:pPr>
      <w:r>
        <w:rPr/>
        <w:t xml:space="preserve">  </w:t>
      </w:r>
      <w:r>
        <w:rPr>
          <w:b/>
          <w:bCs/>
        </w:rPr>
        <w:t>Calpine continues to stress it does do not feel there is a power glut developing in the United States.</w:t>
      </w:r>
      <w:r>
        <w:rPr/>
        <w:t xml:space="preserve">  RWR does believe that a glut of capacity is imminent in the U.S.; however, we do not believe Calpine will be at risk.  Instead, the nature of Calpine’s portfolio places the company in a privileged position as it is one of the most competitive and efficient low cost producers.  Strategic moves like Shell Energy’s underscore continually how difficult competitive power markets can be.  A global look at power supply companies reveals very few successes.  Shell’s announcement should cast additional skepticism on the business plan of New Power Holdings (NYSE:NPC), which to some extent will be held hostage to regulatory hurdles in the critical short and medium terms.  </w:t>
      </w:r>
    </w:p>
    <w:p>
      <w:pPr>
        <w:pStyle w:val="Normal"/>
        <w:jc w:val="both"/>
        <w:rPr/>
      </w:pPr>
      <w:r>
        <w:rPr/>
      </w:r>
    </w:p>
    <w:p>
      <w:pPr>
        <w:pStyle w:val="Normal"/>
        <w:jc w:val="both"/>
        <w:rPr/>
      </w:pPr>
      <w:r>
        <w:rPr/>
        <w:t xml:space="preserve">  </w:t>
      </w:r>
      <w:r>
        <w:rPr>
          <w:b/>
          <w:bCs/>
        </w:rPr>
        <w:t>Deregulation will continue to move forward in Texas and across the country.</w:t>
      </w:r>
      <w:r>
        <w:rPr/>
        <w:t xml:space="preserve">  Shell’s exit should not slow down deregulation.  However, it should give regulators some pause.  If market-based competition and “free choice” is the desired outcome, there must be a structure in place that encourages both.  Shell’s customers will encounter only a modest annoyance from the company’s strategic shift.  Shell’s service would not have started until next year, giving retail customers adequate time to return to their traditional utility or sign up with other suppliers.  Shell is one of six providers competing in the retail market in Texas.  None of the other competitors have indicated a predisposition to abandon.  U.S. retail choice has been unsuccessful—everywhere.  Texas passed restructuring legislation for investor-owned utilities in 1999.  It is currently preparing for pilot programs that would allow retail customers to choose their power providers by January 1, 2002.  Power rates will be reduced by 6% across the board and  locked for three years.  This new rate will serve as a benchmark for five years or unless utilities lose 40% of their consumers to competition.  Inoperative computer systems have caused a delay in retail competition.    </w:t>
      </w:r>
    </w:p>
    <w:p>
      <w:pPr>
        <w:pStyle w:val="Normal"/>
        <w:jc w:val="both"/>
        <w:rPr/>
      </w:pPr>
      <w:r>
        <w:rPr/>
      </w:r>
    </w:p>
    <w:p>
      <w:pPr>
        <w:pStyle w:val="Normal"/>
        <w:jc w:val="both"/>
        <w:rPr/>
      </w:pPr>
      <w:r>
        <w:rPr/>
        <w:t xml:space="preserve">  </w:t>
      </w:r>
      <w:r>
        <w:rPr>
          <w:b/>
          <w:bCs/>
        </w:rPr>
        <w:t xml:space="preserve">RWR continues to believe Calpine shares are attractive.  Given the company’s 24.8% growth rate and stellar reputation for delivering on planned growth, a 12.2 PER is very attractive.  We believe this company should trade at a slight discount to its growth rate.  </w:t>
      </w:r>
      <w:r>
        <w:rPr/>
        <w:t>The Utility Services Providers (USPs) with an asset management slant are trading at 19.0x 2002 earnings.  Calpine has the highest operating and net margins in its peer group at 25.4% and 16.3%, respectively.  In addition, Calpine’s superior ROA, ROC, ROE, and lower debt/equity ratio emphasize the company’s strong fundamentals and earnings capability.  Still, the company is trading at a 50% discount to its peers on a PEG basis.  RWR believes Calpine is highly undervalued in the current market.</w:t>
      </w:r>
      <w:r>
        <w:rPr>
          <w:b/>
          <w:bCs/>
        </w:rPr>
        <w:t xml:space="preserve">  </w:t>
      </w:r>
      <w:r>
        <w:rPr/>
        <w:t xml:space="preserve">Our twelve month target price for Calpine is US$50, representing a 63.1% increase over the September 5 close.   </w:t>
      </w:r>
    </w:p>
    <w:p>
      <w:pPr>
        <w:pStyle w:val="Normal"/>
        <w:rPr>
          <w:b/>
          <w:bCs/>
        </w:rPr>
      </w:pPr>
      <w:r>
        <w:rPr>
          <w:b/>
          <w:bCs/>
        </w:rPr>
      </w:r>
    </w:p>
    <w:p>
      <w:pPr>
        <w:pStyle w:val="Normal"/>
        <w:rPr>
          <w:rFonts w:ascii="Arial" w:hAnsi="Arial" w:eastAsia="Arial" w:cs="Arial"/>
        </w:rPr>
      </w:pPr>
      <w:r>
        <w:rPr>
          <w:rFonts w:eastAsia="Arial" w:cs="Arial" w:ascii="Arial" w:hAnsi="Arial"/>
          <w:b/>
          <w:bCs/>
        </w:rPr>
        <w:t>Calpine Corporation     NYSE (CPN): US$30.66</w:t>
      </w:r>
    </w:p>
    <w:p>
      <w:pPr>
        <w:pStyle w:val="Normal"/>
        <w:rPr/>
      </w:pPr>
      <w:r>
        <w:rPr/>
      </w:r>
      <w:r>
        <mc:AlternateContent>
          <mc:Choice Requires="wps">
            <w:drawing>
              <wp:anchor behindDoc="0" distT="0" distB="0" distL="0" distR="114300" simplePos="0" locked="0" layoutInCell="0" allowOverlap="1" relativeHeight="4">
                <wp:simplePos x="0" y="0"/>
                <wp:positionH relativeFrom="margin">
                  <wp:posOffset>-68580</wp:posOffset>
                </wp:positionH>
                <wp:positionV relativeFrom="paragraph">
                  <wp:posOffset>62865</wp:posOffset>
                </wp:positionV>
                <wp:extent cx="5897880" cy="625475"/>
                <wp:effectExtent l="0" t="0" r="0" b="0"/>
                <wp:wrapSquare wrapText="bothSides"/>
                <wp:docPr id="3" name="Frame1"/>
                <a:graphic xmlns:a="http://schemas.openxmlformats.org/drawingml/2006/main">
                  <a:graphicData uri="http://schemas.microsoft.com/office/word/2010/wordprocessingShape">
                    <wps:wsp>
                      <wps:cNvSpPr txBox="1"/>
                      <wps:spPr>
                        <a:xfrm>
                          <a:off x="0" y="0"/>
                          <a:ext cx="5897880" cy="625475"/>
                        </a:xfrm>
                        <a:prstGeom prst="rect"/>
                        <a:solidFill>
                          <a:srgbClr val="FFFFFF">
                            <a:alpha val="0"/>
                          </a:srgbClr>
                        </a:solidFill>
                      </wps:spPr>
                      <wps:txbx>
                        <w:txbxContent>
                          <w:tbl>
                            <w:tblPr>
                              <w:tblW w:w="9288" w:type="dxa"/>
                              <w:jc w:val="start"/>
                              <w:tblInd w:w="108" w:type="dxa"/>
                              <w:tblLayout w:type="fixed"/>
                              <w:tblCellMar>
                                <w:top w:w="0" w:type="dxa"/>
                                <w:start w:w="108" w:type="dxa"/>
                                <w:bottom w:w="0" w:type="dxa"/>
                                <w:end w:w="108" w:type="dxa"/>
                              </w:tblCellMar>
                            </w:tblPr>
                            <w:tblGrid>
                              <w:gridCol w:w="828"/>
                              <w:gridCol w:w="720"/>
                              <w:gridCol w:w="720"/>
                              <w:gridCol w:w="900"/>
                              <w:gridCol w:w="720"/>
                              <w:gridCol w:w="1620"/>
                              <w:gridCol w:w="1080"/>
                              <w:gridCol w:w="1800"/>
                              <w:gridCol w:w="900"/>
                            </w:tblGrid>
                            <w:tr>
                              <w:trPr/>
                              <w:tc>
                                <w:tcPr>
                                  <w:tcW w:w="828"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Year</w:t>
                                  </w:r>
                                </w:p>
                              </w:tc>
                              <w:tc>
                                <w:tcPr>
                                  <w:tcW w:w="720"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EPS</w:t>
                                  </w:r>
                                </w:p>
                              </w:tc>
                              <w:tc>
                                <w:tcPr>
                                  <w:tcW w:w="720"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PE</w:t>
                                  </w:r>
                                </w:p>
                              </w:tc>
                              <w:tc>
                                <w:tcPr>
                                  <w:tcW w:w="900"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CF</w:t>
                                  </w:r>
                                </w:p>
                              </w:tc>
                              <w:tc>
                                <w:tcPr>
                                  <w:tcW w:w="720" w:type="dxa"/>
                                  <w:tcBorders>
                                    <w:top w:val="single" w:sz="6" w:space="0" w:color="000000"/>
                                    <w:start w:val="dashed" w:sz="6" w:space="0" w:color="auto"/>
                                    <w:bottom w:val="single" w:sz="6" w:space="0" w:color="000000"/>
                                    <w:end w:val="single" w:sz="6" w:space="0" w:color="000000"/>
                                  </w:tcBorders>
                                </w:tcPr>
                                <w:p>
                                  <w:pPr>
                                    <w:pStyle w:val="Normal"/>
                                    <w:jc w:val="center"/>
                                    <w:rPr>
                                      <w:b/>
                                      <w:bCs/>
                                      <w:sz w:val="16"/>
                                      <w:szCs w:val="16"/>
                                    </w:rPr>
                                  </w:pPr>
                                  <w:r>
                                    <w:rPr>
                                      <w:b/>
                                      <w:bCs/>
                                      <w:sz w:val="16"/>
                                      <w:szCs w:val="16"/>
                                    </w:rPr>
                                    <w:t>EV/CF</w:t>
                                  </w:r>
                                </w:p>
                              </w:tc>
                              <w:tc>
                                <w:tcPr>
                                  <w:tcW w:w="1620" w:type="dxa"/>
                                  <w:tcBorders>
                                    <w:top w:val="single" w:sz="6" w:space="0" w:color="000000"/>
                                    <w:start w:val="single" w:sz="6" w:space="0" w:color="000000"/>
                                    <w:bottom w:val="dashed" w:sz="6" w:space="0" w:color="auto"/>
                                    <w:end w:val="dashed" w:sz="6" w:space="0" w:color="auto"/>
                                  </w:tcBorders>
                                </w:tcPr>
                                <w:p>
                                  <w:pPr>
                                    <w:pStyle w:val="Normal"/>
                                    <w:rPr>
                                      <w:b/>
                                      <w:bCs/>
                                      <w:sz w:val="16"/>
                                      <w:szCs w:val="16"/>
                                    </w:rPr>
                                  </w:pPr>
                                  <w:r>
                                    <w:rPr>
                                      <w:b/>
                                      <w:bCs/>
                                      <w:sz w:val="16"/>
                                      <w:szCs w:val="16"/>
                                    </w:rPr>
                                    <w:t>Target Price</w:t>
                                  </w:r>
                                </w:p>
                              </w:tc>
                              <w:tc>
                                <w:tcPr>
                                  <w:tcW w:w="1080" w:type="dxa"/>
                                  <w:tcBorders>
                                    <w:top w:val="single" w:sz="6" w:space="0" w:color="000000"/>
                                    <w:start w:val="dashed" w:sz="6" w:space="0" w:color="auto"/>
                                    <w:bottom w:val="dashed" w:sz="6" w:space="0" w:color="auto"/>
                                    <w:end w:val="dashed" w:sz="6" w:space="0" w:color="auto"/>
                                  </w:tcBorders>
                                </w:tcPr>
                                <w:p>
                                  <w:pPr>
                                    <w:pStyle w:val="Normal"/>
                                    <w:jc w:val="end"/>
                                    <w:rPr>
                                      <w:b/>
                                      <w:bCs/>
                                      <w:sz w:val="16"/>
                                      <w:szCs w:val="16"/>
                                    </w:rPr>
                                  </w:pPr>
                                  <w:r>
                                    <w:rPr>
                                      <w:b/>
                                      <w:bCs/>
                                      <w:sz w:val="16"/>
                                      <w:szCs w:val="16"/>
                                    </w:rPr>
                                    <w:t>N/A</w:t>
                                  </w:r>
                                </w:p>
                              </w:tc>
                              <w:tc>
                                <w:tcPr>
                                  <w:tcW w:w="1800" w:type="dxa"/>
                                  <w:tcBorders>
                                    <w:top w:val="single" w:sz="6" w:space="0" w:color="000000"/>
                                    <w:start w:val="dashed" w:sz="6" w:space="0" w:color="auto"/>
                                    <w:bottom w:val="dashed" w:sz="6" w:space="0" w:color="auto"/>
                                    <w:end w:val="dashed" w:sz="6" w:space="0" w:color="auto"/>
                                  </w:tcBorders>
                                </w:tcPr>
                                <w:p>
                                  <w:pPr>
                                    <w:pStyle w:val="Normal"/>
                                    <w:rPr>
                                      <w:sz w:val="16"/>
                                      <w:szCs w:val="16"/>
                                    </w:rPr>
                                  </w:pPr>
                                  <w:r>
                                    <w:rPr>
                                      <w:sz w:val="16"/>
                                      <w:szCs w:val="16"/>
                                    </w:rPr>
                                    <w:t>ROIC</w:t>
                                  </w:r>
                                </w:p>
                              </w:tc>
                              <w:tc>
                                <w:tcPr>
                                  <w:tcW w:w="90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9.1%</w:t>
                                  </w:r>
                                </w:p>
                              </w:tc>
                            </w:tr>
                            <w:tr>
                              <w:trPr/>
                              <w:tc>
                                <w:tcPr>
                                  <w:tcW w:w="828" w:type="dxa"/>
                                  <w:tcBorders>
                                    <w:top w:val="single" w:sz="6" w:space="0" w:color="000000"/>
                                    <w:start w:val="dashed" w:sz="6" w:space="0" w:color="auto"/>
                                    <w:bottom w:val="dashed" w:sz="6" w:space="0" w:color="auto"/>
                                    <w:end w:val="dashed" w:sz="6" w:space="0" w:color="auto"/>
                                  </w:tcBorders>
                                </w:tcPr>
                                <w:p>
                                  <w:pPr>
                                    <w:pStyle w:val="Normal"/>
                                    <w:jc w:val="center"/>
                                    <w:rPr>
                                      <w:sz w:val="16"/>
                                      <w:szCs w:val="16"/>
                                    </w:rPr>
                                  </w:pPr>
                                  <w:r>
                                    <w:rPr>
                                      <w:sz w:val="16"/>
                                      <w:szCs w:val="16"/>
                                    </w:rPr>
                                    <w:t>00</w:t>
                                  </w:r>
                                </w:p>
                              </w:tc>
                              <w:tc>
                                <w:tcPr>
                                  <w:tcW w:w="72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1.11</w:t>
                                  </w:r>
                                </w:p>
                              </w:tc>
                              <w:tc>
                                <w:tcPr>
                                  <w:tcW w:w="72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27.62</w:t>
                                  </w:r>
                                </w:p>
                              </w:tc>
                              <w:tc>
                                <w:tcPr>
                                  <w:tcW w:w="90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2.70</w:t>
                                  </w:r>
                                </w:p>
                              </w:tc>
                              <w:tc>
                                <w:tcPr>
                                  <w:tcW w:w="720" w:type="dxa"/>
                                  <w:tcBorders>
                                    <w:top w:val="single" w:sz="6" w:space="0" w:color="000000"/>
                                    <w:start w:val="dashed" w:sz="6" w:space="0" w:color="auto"/>
                                    <w:bottom w:val="dashed" w:sz="6" w:space="0" w:color="auto"/>
                                    <w:end w:val="single" w:sz="6" w:space="0" w:color="000000"/>
                                  </w:tcBorders>
                                </w:tcPr>
                                <w:p>
                                  <w:pPr>
                                    <w:pStyle w:val="Normal"/>
                                    <w:jc w:val="end"/>
                                    <w:rPr>
                                      <w:sz w:val="16"/>
                                      <w:szCs w:val="16"/>
                                    </w:rPr>
                                  </w:pPr>
                                  <w:r>
                                    <w:rPr>
                                      <w:sz w:val="16"/>
                                      <w:szCs w:val="16"/>
                                    </w:rPr>
                                    <w:t>22.30</w:t>
                                  </w:r>
                                </w:p>
                              </w:tc>
                              <w:tc>
                                <w:tcPr>
                                  <w:tcW w:w="1620" w:type="dxa"/>
                                  <w:tcBorders>
                                    <w:top w:val="dashed" w:sz="6" w:space="0" w:color="auto"/>
                                    <w:start w:val="single" w:sz="6" w:space="0" w:color="000000"/>
                                    <w:bottom w:val="dashed" w:sz="6" w:space="0" w:color="auto"/>
                                    <w:end w:val="dashed" w:sz="6" w:space="0" w:color="auto"/>
                                  </w:tcBorders>
                                </w:tcPr>
                                <w:p>
                                  <w:pPr>
                                    <w:pStyle w:val="Normal"/>
                                    <w:rPr>
                                      <w:sz w:val="16"/>
                                      <w:szCs w:val="16"/>
                                    </w:rPr>
                                  </w:pPr>
                                  <w:r>
                                    <w:rPr>
                                      <w:sz w:val="16"/>
                                      <w:szCs w:val="16"/>
                                    </w:rPr>
                                    <w:t>EBITDA/Int. Exp.</w:t>
                                  </w:r>
                                </w:p>
                              </w:tc>
                              <w:tc>
                                <w:tcPr>
                                  <w:tcW w:w="108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1.2</w:t>
                                  </w:r>
                                </w:p>
                              </w:tc>
                              <w:tc>
                                <w:tcPr>
                                  <w:tcW w:w="1800" w:type="dxa"/>
                                  <w:tcBorders>
                                    <w:top w:val="dashed" w:sz="6" w:space="0" w:color="auto"/>
                                    <w:start w:val="dashed" w:sz="6" w:space="0" w:color="auto"/>
                                    <w:bottom w:val="dashed" w:sz="6" w:space="0" w:color="auto"/>
                                    <w:end w:val="dashed" w:sz="6" w:space="0" w:color="auto"/>
                                  </w:tcBorders>
                                </w:tcPr>
                                <w:p>
                                  <w:pPr>
                                    <w:pStyle w:val="Normal"/>
                                    <w:rPr>
                                      <w:sz w:val="16"/>
                                      <w:szCs w:val="16"/>
                                    </w:rPr>
                                  </w:pPr>
                                  <w:r>
                                    <w:rPr>
                                      <w:sz w:val="16"/>
                                      <w:szCs w:val="16"/>
                                    </w:rPr>
                                    <w:t>Market Cap. US$MM</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9,378</w:t>
                                  </w:r>
                                </w:p>
                              </w:tc>
                            </w:tr>
                            <w:tr>
                              <w:trPr/>
                              <w:tc>
                                <w:tcPr>
                                  <w:tcW w:w="828" w:type="dxa"/>
                                  <w:tcBorders>
                                    <w:top w:val="dashed" w:sz="6" w:space="0" w:color="auto"/>
                                    <w:start w:val="dashed" w:sz="6" w:space="0" w:color="auto"/>
                                    <w:bottom w:val="dashed" w:sz="6" w:space="0" w:color="auto"/>
                                    <w:end w:val="dashed" w:sz="6" w:space="0" w:color="auto"/>
                                  </w:tcBorders>
                                </w:tcPr>
                                <w:p>
                                  <w:pPr>
                                    <w:pStyle w:val="Normal"/>
                                    <w:jc w:val="center"/>
                                    <w:rPr>
                                      <w:sz w:val="16"/>
                                      <w:szCs w:val="16"/>
                                    </w:rPr>
                                  </w:pPr>
                                  <w:r>
                                    <w:rPr>
                                      <w:sz w:val="16"/>
                                      <w:szCs w:val="16"/>
                                    </w:rPr>
                                    <w:t>01</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2.02</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15.21</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4.85</w:t>
                                  </w:r>
                                </w:p>
                              </w:tc>
                              <w:tc>
                                <w:tcPr>
                                  <w:tcW w:w="720" w:type="dxa"/>
                                  <w:tcBorders>
                                    <w:top w:val="dashed" w:sz="6" w:space="0" w:color="auto"/>
                                    <w:start w:val="dashed" w:sz="6" w:space="0" w:color="auto"/>
                                    <w:bottom w:val="dashed" w:sz="6" w:space="0" w:color="auto"/>
                                    <w:end w:val="single" w:sz="6" w:space="0" w:color="000000"/>
                                  </w:tcBorders>
                                </w:tcPr>
                                <w:p>
                                  <w:pPr>
                                    <w:pStyle w:val="Normal"/>
                                    <w:jc w:val="end"/>
                                    <w:rPr>
                                      <w:sz w:val="16"/>
                                      <w:szCs w:val="16"/>
                                    </w:rPr>
                                  </w:pPr>
                                  <w:r>
                                    <w:rPr>
                                      <w:sz w:val="16"/>
                                      <w:szCs w:val="16"/>
                                    </w:rPr>
                                    <w:t>12.97</w:t>
                                  </w:r>
                                </w:p>
                              </w:tc>
                              <w:tc>
                                <w:tcPr>
                                  <w:tcW w:w="1620" w:type="dxa"/>
                                  <w:tcBorders>
                                    <w:top w:val="dashed" w:sz="6" w:space="0" w:color="auto"/>
                                    <w:start w:val="single" w:sz="6" w:space="0" w:color="000000"/>
                                    <w:bottom w:val="dashed" w:sz="6" w:space="0" w:color="auto"/>
                                    <w:end w:val="dashed" w:sz="6" w:space="0" w:color="auto"/>
                                  </w:tcBorders>
                                </w:tcPr>
                                <w:p>
                                  <w:pPr>
                                    <w:pStyle w:val="Normal"/>
                                    <w:rPr>
                                      <w:sz w:val="16"/>
                                      <w:szCs w:val="16"/>
                                    </w:rPr>
                                  </w:pPr>
                                  <w:r>
                                    <w:rPr>
                                      <w:sz w:val="16"/>
                                      <w:szCs w:val="16"/>
                                    </w:rPr>
                                    <w:t>PEG</w:t>
                                  </w:r>
                                </w:p>
                              </w:tc>
                              <w:tc>
                                <w:tcPr>
                                  <w:tcW w:w="108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0.47</w:t>
                                  </w:r>
                                </w:p>
                              </w:tc>
                              <w:tc>
                                <w:tcPr>
                                  <w:tcW w:w="1800" w:type="dxa"/>
                                  <w:tcBorders>
                                    <w:top w:val="dashed" w:sz="6" w:space="0" w:color="auto"/>
                                    <w:start w:val="dashed" w:sz="6" w:space="0" w:color="auto"/>
                                    <w:bottom w:val="dashed" w:sz="6" w:space="0" w:color="auto"/>
                                    <w:end w:val="dashed" w:sz="6" w:space="0" w:color="auto"/>
                                  </w:tcBorders>
                                </w:tcPr>
                                <w:p>
                                  <w:pPr>
                                    <w:pStyle w:val="Normal"/>
                                    <w:rPr>
                                      <w:sz w:val="16"/>
                                      <w:szCs w:val="16"/>
                                    </w:rPr>
                                  </w:pPr>
                                  <w:r>
                                    <w:rPr>
                                      <w:sz w:val="16"/>
                                      <w:szCs w:val="16"/>
                                    </w:rPr>
                                    <w:t>Avg. Vol.  US$MM</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5.23</w:t>
                                  </w:r>
                                </w:p>
                              </w:tc>
                            </w:tr>
                            <w:tr>
                              <w:trPr/>
                              <w:tc>
                                <w:tcPr>
                                  <w:tcW w:w="828" w:type="dxa"/>
                                  <w:tcBorders>
                                    <w:top w:val="dashed" w:sz="6" w:space="0" w:color="auto"/>
                                    <w:start w:val="dashed" w:sz="6" w:space="0" w:color="auto"/>
                                    <w:bottom w:val="dashed" w:sz="6" w:space="0" w:color="auto"/>
                                    <w:end w:val="dashed" w:sz="6" w:space="0" w:color="auto"/>
                                  </w:tcBorders>
                                </w:tcPr>
                                <w:p>
                                  <w:pPr>
                                    <w:pStyle w:val="Normal"/>
                                    <w:jc w:val="center"/>
                                    <w:rPr>
                                      <w:sz w:val="16"/>
                                      <w:szCs w:val="16"/>
                                    </w:rPr>
                                  </w:pPr>
                                  <w:r>
                                    <w:rPr>
                                      <w:sz w:val="16"/>
                                      <w:szCs w:val="16"/>
                                    </w:rPr>
                                    <w:t>02</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2.52</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12.20</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6.12</w:t>
                                  </w:r>
                                </w:p>
                              </w:tc>
                              <w:tc>
                                <w:tcPr>
                                  <w:tcW w:w="720" w:type="dxa"/>
                                  <w:tcBorders>
                                    <w:top w:val="dashed" w:sz="6" w:space="0" w:color="auto"/>
                                    <w:start w:val="dashed" w:sz="6" w:space="0" w:color="auto"/>
                                    <w:bottom w:val="dashed" w:sz="6" w:space="0" w:color="auto"/>
                                    <w:end w:val="single" w:sz="6" w:space="0" w:color="000000"/>
                                  </w:tcBorders>
                                </w:tcPr>
                                <w:p>
                                  <w:pPr>
                                    <w:pStyle w:val="Normal"/>
                                    <w:jc w:val="end"/>
                                    <w:rPr>
                                      <w:sz w:val="16"/>
                                      <w:szCs w:val="16"/>
                                    </w:rPr>
                                  </w:pPr>
                                  <w:r>
                                    <w:rPr>
                                      <w:sz w:val="16"/>
                                      <w:szCs w:val="16"/>
                                    </w:rPr>
                                    <w:t>10.28</w:t>
                                  </w:r>
                                </w:p>
                              </w:tc>
                              <w:tc>
                                <w:tcPr>
                                  <w:tcW w:w="1620" w:type="dxa"/>
                                  <w:tcBorders>
                                    <w:top w:val="dashed" w:sz="6" w:space="0" w:color="auto"/>
                                    <w:start w:val="single" w:sz="6" w:space="0" w:color="000000"/>
                                    <w:bottom w:val="dashed" w:sz="6" w:space="0" w:color="auto"/>
                                    <w:end w:val="dashed" w:sz="6" w:space="0" w:color="auto"/>
                                  </w:tcBorders>
                                </w:tcPr>
                                <w:p>
                                  <w:pPr>
                                    <w:pStyle w:val="Normal"/>
                                    <w:rPr>
                                      <w:sz w:val="16"/>
                                      <w:szCs w:val="16"/>
                                    </w:rPr>
                                  </w:pPr>
                                  <w:r>
                                    <w:rPr>
                                      <w:sz w:val="16"/>
                                      <w:szCs w:val="16"/>
                                    </w:rPr>
                                    <w:t>Yield %</w:t>
                                  </w:r>
                                </w:p>
                              </w:tc>
                              <w:tc>
                                <w:tcPr>
                                  <w:tcW w:w="108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4.8%</w:t>
                                  </w:r>
                                </w:p>
                              </w:tc>
                              <w:tc>
                                <w:tcPr>
                                  <w:tcW w:w="1800" w:type="dxa"/>
                                  <w:tcBorders>
                                    <w:top w:val="dashed" w:sz="6" w:space="0" w:color="auto"/>
                                    <w:start w:val="dashed" w:sz="6" w:space="0" w:color="auto"/>
                                    <w:bottom w:val="dashed" w:sz="6" w:space="0" w:color="auto"/>
                                    <w:end w:val="dashed" w:sz="6" w:space="0" w:color="auto"/>
                                  </w:tcBorders>
                                </w:tcPr>
                                <w:p>
                                  <w:pPr>
                                    <w:pStyle w:val="Normal"/>
                                    <w:rPr>
                                      <w:sz w:val="16"/>
                                      <w:szCs w:val="16"/>
                                    </w:rPr>
                                  </w:pPr>
                                  <w:r>
                                    <w:rPr>
                                      <w:sz w:val="16"/>
                                      <w:szCs w:val="16"/>
                                    </w:rPr>
                                    <w:t xml:space="preserve">Free Float </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9.0%</w:t>
                                  </w:r>
                                </w:p>
                              </w:tc>
                            </w:tr>
                            <w:tr>
                              <w:trPr/>
                              <w:tc>
                                <w:tcPr>
                                  <w:tcW w:w="828" w:type="dxa"/>
                                  <w:tcBorders>
                                    <w:top w:val="dashed" w:sz="6" w:space="0" w:color="auto"/>
                                    <w:start w:val="dashed" w:sz="6" w:space="0" w:color="auto"/>
                                    <w:bottom w:val="single" w:sz="6" w:space="0" w:color="000000"/>
                                    <w:end w:val="dashed" w:sz="6" w:space="0" w:color="auto"/>
                                  </w:tcBorders>
                                </w:tcPr>
                                <w:p>
                                  <w:pPr>
                                    <w:pStyle w:val="Normal"/>
                                    <w:jc w:val="center"/>
                                    <w:rPr>
                                      <w:sz w:val="16"/>
                                      <w:szCs w:val="16"/>
                                    </w:rPr>
                                  </w:pPr>
                                  <w:r>
                                    <w:rPr>
                                      <w:sz w:val="16"/>
                                      <w:szCs w:val="16"/>
                                    </w:rPr>
                                    <w:t>03</w:t>
                                  </w:r>
                                </w:p>
                              </w:tc>
                              <w:tc>
                                <w:tcPr>
                                  <w:tcW w:w="72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3.35</w:t>
                                  </w:r>
                                </w:p>
                              </w:tc>
                              <w:tc>
                                <w:tcPr>
                                  <w:tcW w:w="72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9.15</w:t>
                                  </w:r>
                                </w:p>
                              </w:tc>
                              <w:tc>
                                <w:tcPr>
                                  <w:tcW w:w="90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8.11</w:t>
                                  </w:r>
                                </w:p>
                              </w:tc>
                              <w:tc>
                                <w:tcPr>
                                  <w:tcW w:w="720" w:type="dxa"/>
                                  <w:tcBorders>
                                    <w:top w:val="dashed" w:sz="6" w:space="0" w:color="auto"/>
                                    <w:start w:val="dashed" w:sz="6" w:space="0" w:color="auto"/>
                                    <w:bottom w:val="single" w:sz="6" w:space="0" w:color="000000"/>
                                    <w:end w:val="single" w:sz="6" w:space="0" w:color="000000"/>
                                  </w:tcBorders>
                                </w:tcPr>
                                <w:p>
                                  <w:pPr>
                                    <w:pStyle w:val="Normal"/>
                                    <w:jc w:val="end"/>
                                    <w:rPr>
                                      <w:sz w:val="16"/>
                                      <w:szCs w:val="16"/>
                                    </w:rPr>
                                  </w:pPr>
                                  <w:r>
                                    <w:rPr>
                                      <w:sz w:val="16"/>
                                      <w:szCs w:val="16"/>
                                    </w:rPr>
                                    <w:t>7.75</w:t>
                                  </w:r>
                                </w:p>
                              </w:tc>
                              <w:tc>
                                <w:tcPr>
                                  <w:tcW w:w="1620" w:type="dxa"/>
                                  <w:tcBorders>
                                    <w:top w:val="dashed" w:sz="6" w:space="0" w:color="auto"/>
                                    <w:start w:val="single" w:sz="6" w:space="0" w:color="000000"/>
                                    <w:bottom w:val="single" w:sz="6" w:space="0" w:color="000000"/>
                                    <w:end w:val="dashed" w:sz="6" w:space="0" w:color="auto"/>
                                  </w:tcBorders>
                                </w:tcPr>
                                <w:p>
                                  <w:pPr>
                                    <w:pStyle w:val="Normal"/>
                                    <w:rPr>
                                      <w:sz w:val="16"/>
                                      <w:szCs w:val="16"/>
                                    </w:rPr>
                                  </w:pPr>
                                  <w:r>
                                    <w:rPr>
                                      <w:sz w:val="16"/>
                                      <w:szCs w:val="16"/>
                                    </w:rPr>
                                    <w:t>52 Wk. Range</w:t>
                                  </w:r>
                                </w:p>
                              </w:tc>
                              <w:tc>
                                <w:tcPr>
                                  <w:tcW w:w="1080" w:type="dxa"/>
                                  <w:tcBorders>
                                    <w:top w:val="dashed" w:sz="6" w:space="0" w:color="auto"/>
                                    <w:start w:val="dashed" w:sz="6" w:space="0" w:color="auto"/>
                                    <w:bottom w:val="single" w:sz="6" w:space="0" w:color="000000"/>
                                    <w:end w:val="dashed" w:sz="6" w:space="0" w:color="auto"/>
                                  </w:tcBorders>
                                </w:tcPr>
                                <w:p>
                                  <w:pPr>
                                    <w:pStyle w:val="Normal"/>
                                    <w:jc w:val="end"/>
                                    <w:rPr/>
                                  </w:pPr>
                                  <w:r>
                                    <w:rPr>
                                      <w:sz w:val="16"/>
                                      <w:szCs w:val="16"/>
                                    </w:rPr>
                                    <w:t>27.80</w:t>
                                  </w:r>
                                  <w:r>
                                    <w:rPr>
                                      <w:rFonts w:eastAsia="Arial Narrow" w:cs="Arial Narrow" w:ascii="Arial Narrow" w:hAnsi="Arial Narrow"/>
                                      <w:sz w:val="16"/>
                                      <w:szCs w:val="16"/>
                                    </w:rPr>
                                    <w:t>–</w:t>
                                  </w:r>
                                  <w:r>
                                    <w:rPr>
                                      <w:sz w:val="16"/>
                                      <w:szCs w:val="16"/>
                                    </w:rPr>
                                    <w:t>58.04</w:t>
                                  </w:r>
                                </w:p>
                              </w:tc>
                              <w:tc>
                                <w:tcPr>
                                  <w:tcW w:w="1800" w:type="dxa"/>
                                  <w:tcBorders>
                                    <w:top w:val="dashed" w:sz="6" w:space="0" w:color="auto"/>
                                    <w:start w:val="dashed" w:sz="6" w:space="0" w:color="auto"/>
                                    <w:bottom w:val="single" w:sz="6" w:space="0" w:color="000000"/>
                                    <w:end w:val="dashed" w:sz="6" w:space="0" w:color="auto"/>
                                  </w:tcBorders>
                                </w:tcPr>
                                <w:p>
                                  <w:pPr>
                                    <w:pStyle w:val="Normal"/>
                                    <w:rPr>
                                      <w:sz w:val="16"/>
                                      <w:szCs w:val="16"/>
                                    </w:rPr>
                                  </w:pPr>
                                  <w:r>
                                    <w:rPr>
                                      <w:sz w:val="16"/>
                                      <w:szCs w:val="16"/>
                                    </w:rPr>
                                    <w:t xml:space="preserve">Debt/Equity </w:t>
                                  </w:r>
                                </w:p>
                              </w:tc>
                              <w:tc>
                                <w:tcPr>
                                  <w:tcW w:w="90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1.3</w:t>
                                  </w:r>
                                </w:p>
                              </w:tc>
                            </w:tr>
                          </w:tbl>
                        </w:txbxContent>
                      </wps:txbx>
                      <wps:bodyPr anchor="t" lIns="0" tIns="0" rIns="0" bIns="0">
                        <a:noAutofit/>
                      </wps:bodyPr>
                    </wps:wsp>
                  </a:graphicData>
                </a:graphic>
              </wp:anchor>
            </w:drawing>
          </mc:Choice>
          <mc:Fallback>
            <w:pict>
              <v:rect fillcolor="#FFFFFF" style="position:absolute;rotation:-0;width:464.4pt;height:49.25pt;mso-wrap-distance-left:0pt;mso-wrap-distance-right:9pt;mso-wrap-distance-top:0pt;mso-wrap-distance-bottom:0pt;margin-top:4.95pt;mso-position-vertical-relative:text;margin-left:-5.4pt;mso-position-horizontal-relative:margin">
                <v:fill opacity="0f"/>
                <v:textbox inset="0in,0in,0in,0in">
                  <w:txbxContent>
                    <w:tbl>
                      <w:tblPr>
                        <w:tblW w:w="9288" w:type="dxa"/>
                        <w:jc w:val="start"/>
                        <w:tblInd w:w="108" w:type="dxa"/>
                        <w:tblLayout w:type="fixed"/>
                        <w:tblCellMar>
                          <w:top w:w="0" w:type="dxa"/>
                          <w:start w:w="108" w:type="dxa"/>
                          <w:bottom w:w="0" w:type="dxa"/>
                          <w:end w:w="108" w:type="dxa"/>
                        </w:tblCellMar>
                      </w:tblPr>
                      <w:tblGrid>
                        <w:gridCol w:w="828"/>
                        <w:gridCol w:w="720"/>
                        <w:gridCol w:w="720"/>
                        <w:gridCol w:w="900"/>
                        <w:gridCol w:w="720"/>
                        <w:gridCol w:w="1620"/>
                        <w:gridCol w:w="1080"/>
                        <w:gridCol w:w="1800"/>
                        <w:gridCol w:w="900"/>
                      </w:tblGrid>
                      <w:tr>
                        <w:trPr/>
                        <w:tc>
                          <w:tcPr>
                            <w:tcW w:w="828"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Year</w:t>
                            </w:r>
                          </w:p>
                        </w:tc>
                        <w:tc>
                          <w:tcPr>
                            <w:tcW w:w="720"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EPS</w:t>
                            </w:r>
                          </w:p>
                        </w:tc>
                        <w:tc>
                          <w:tcPr>
                            <w:tcW w:w="720"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PE</w:t>
                            </w:r>
                          </w:p>
                        </w:tc>
                        <w:tc>
                          <w:tcPr>
                            <w:tcW w:w="900" w:type="dxa"/>
                            <w:tcBorders>
                              <w:top w:val="single" w:sz="6" w:space="0" w:color="000000"/>
                              <w:start w:val="dashed" w:sz="6" w:space="0" w:color="auto"/>
                              <w:bottom w:val="single" w:sz="6" w:space="0" w:color="000000"/>
                              <w:end w:val="dashed" w:sz="6" w:space="0" w:color="auto"/>
                            </w:tcBorders>
                          </w:tcPr>
                          <w:p>
                            <w:pPr>
                              <w:pStyle w:val="Normal"/>
                              <w:jc w:val="center"/>
                              <w:rPr>
                                <w:b/>
                                <w:bCs/>
                                <w:sz w:val="16"/>
                                <w:szCs w:val="16"/>
                              </w:rPr>
                            </w:pPr>
                            <w:r>
                              <w:rPr>
                                <w:b/>
                                <w:bCs/>
                                <w:sz w:val="16"/>
                                <w:szCs w:val="16"/>
                              </w:rPr>
                              <w:t>CF</w:t>
                            </w:r>
                          </w:p>
                        </w:tc>
                        <w:tc>
                          <w:tcPr>
                            <w:tcW w:w="720" w:type="dxa"/>
                            <w:tcBorders>
                              <w:top w:val="single" w:sz="6" w:space="0" w:color="000000"/>
                              <w:start w:val="dashed" w:sz="6" w:space="0" w:color="auto"/>
                              <w:bottom w:val="single" w:sz="6" w:space="0" w:color="000000"/>
                              <w:end w:val="single" w:sz="6" w:space="0" w:color="000000"/>
                            </w:tcBorders>
                          </w:tcPr>
                          <w:p>
                            <w:pPr>
                              <w:pStyle w:val="Normal"/>
                              <w:jc w:val="center"/>
                              <w:rPr>
                                <w:b/>
                                <w:bCs/>
                                <w:sz w:val="16"/>
                                <w:szCs w:val="16"/>
                              </w:rPr>
                            </w:pPr>
                            <w:r>
                              <w:rPr>
                                <w:b/>
                                <w:bCs/>
                                <w:sz w:val="16"/>
                                <w:szCs w:val="16"/>
                              </w:rPr>
                              <w:t>EV/CF</w:t>
                            </w:r>
                          </w:p>
                        </w:tc>
                        <w:tc>
                          <w:tcPr>
                            <w:tcW w:w="1620" w:type="dxa"/>
                            <w:tcBorders>
                              <w:top w:val="single" w:sz="6" w:space="0" w:color="000000"/>
                              <w:start w:val="single" w:sz="6" w:space="0" w:color="000000"/>
                              <w:bottom w:val="dashed" w:sz="6" w:space="0" w:color="auto"/>
                              <w:end w:val="dashed" w:sz="6" w:space="0" w:color="auto"/>
                            </w:tcBorders>
                          </w:tcPr>
                          <w:p>
                            <w:pPr>
                              <w:pStyle w:val="Normal"/>
                              <w:rPr>
                                <w:b/>
                                <w:bCs/>
                                <w:sz w:val="16"/>
                                <w:szCs w:val="16"/>
                              </w:rPr>
                            </w:pPr>
                            <w:r>
                              <w:rPr>
                                <w:b/>
                                <w:bCs/>
                                <w:sz w:val="16"/>
                                <w:szCs w:val="16"/>
                              </w:rPr>
                              <w:t>Target Price</w:t>
                            </w:r>
                          </w:p>
                        </w:tc>
                        <w:tc>
                          <w:tcPr>
                            <w:tcW w:w="1080" w:type="dxa"/>
                            <w:tcBorders>
                              <w:top w:val="single" w:sz="6" w:space="0" w:color="000000"/>
                              <w:start w:val="dashed" w:sz="6" w:space="0" w:color="auto"/>
                              <w:bottom w:val="dashed" w:sz="6" w:space="0" w:color="auto"/>
                              <w:end w:val="dashed" w:sz="6" w:space="0" w:color="auto"/>
                            </w:tcBorders>
                          </w:tcPr>
                          <w:p>
                            <w:pPr>
                              <w:pStyle w:val="Normal"/>
                              <w:jc w:val="end"/>
                              <w:rPr>
                                <w:b/>
                                <w:bCs/>
                                <w:sz w:val="16"/>
                                <w:szCs w:val="16"/>
                              </w:rPr>
                            </w:pPr>
                            <w:r>
                              <w:rPr>
                                <w:b/>
                                <w:bCs/>
                                <w:sz w:val="16"/>
                                <w:szCs w:val="16"/>
                              </w:rPr>
                              <w:t>N/A</w:t>
                            </w:r>
                          </w:p>
                        </w:tc>
                        <w:tc>
                          <w:tcPr>
                            <w:tcW w:w="1800" w:type="dxa"/>
                            <w:tcBorders>
                              <w:top w:val="single" w:sz="6" w:space="0" w:color="000000"/>
                              <w:start w:val="dashed" w:sz="6" w:space="0" w:color="auto"/>
                              <w:bottom w:val="dashed" w:sz="6" w:space="0" w:color="auto"/>
                              <w:end w:val="dashed" w:sz="6" w:space="0" w:color="auto"/>
                            </w:tcBorders>
                          </w:tcPr>
                          <w:p>
                            <w:pPr>
                              <w:pStyle w:val="Normal"/>
                              <w:rPr>
                                <w:sz w:val="16"/>
                                <w:szCs w:val="16"/>
                              </w:rPr>
                            </w:pPr>
                            <w:r>
                              <w:rPr>
                                <w:sz w:val="16"/>
                                <w:szCs w:val="16"/>
                              </w:rPr>
                              <w:t>ROIC</w:t>
                            </w:r>
                          </w:p>
                        </w:tc>
                        <w:tc>
                          <w:tcPr>
                            <w:tcW w:w="90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9.1%</w:t>
                            </w:r>
                          </w:p>
                        </w:tc>
                      </w:tr>
                      <w:tr>
                        <w:trPr/>
                        <w:tc>
                          <w:tcPr>
                            <w:tcW w:w="828" w:type="dxa"/>
                            <w:tcBorders>
                              <w:top w:val="single" w:sz="6" w:space="0" w:color="000000"/>
                              <w:start w:val="dashed" w:sz="6" w:space="0" w:color="auto"/>
                              <w:bottom w:val="dashed" w:sz="6" w:space="0" w:color="auto"/>
                              <w:end w:val="dashed" w:sz="6" w:space="0" w:color="auto"/>
                            </w:tcBorders>
                          </w:tcPr>
                          <w:p>
                            <w:pPr>
                              <w:pStyle w:val="Normal"/>
                              <w:jc w:val="center"/>
                              <w:rPr>
                                <w:sz w:val="16"/>
                                <w:szCs w:val="16"/>
                              </w:rPr>
                            </w:pPr>
                            <w:r>
                              <w:rPr>
                                <w:sz w:val="16"/>
                                <w:szCs w:val="16"/>
                              </w:rPr>
                              <w:t>00</w:t>
                            </w:r>
                          </w:p>
                        </w:tc>
                        <w:tc>
                          <w:tcPr>
                            <w:tcW w:w="72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1.11</w:t>
                            </w:r>
                          </w:p>
                        </w:tc>
                        <w:tc>
                          <w:tcPr>
                            <w:tcW w:w="72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27.62</w:t>
                            </w:r>
                          </w:p>
                        </w:tc>
                        <w:tc>
                          <w:tcPr>
                            <w:tcW w:w="900" w:type="dxa"/>
                            <w:tcBorders>
                              <w:top w:val="single" w:sz="6" w:space="0" w:color="000000"/>
                              <w:start w:val="dashed" w:sz="6" w:space="0" w:color="auto"/>
                              <w:bottom w:val="dashed" w:sz="6" w:space="0" w:color="auto"/>
                              <w:end w:val="dashed" w:sz="6" w:space="0" w:color="auto"/>
                            </w:tcBorders>
                          </w:tcPr>
                          <w:p>
                            <w:pPr>
                              <w:pStyle w:val="Normal"/>
                              <w:jc w:val="end"/>
                              <w:rPr>
                                <w:sz w:val="16"/>
                                <w:szCs w:val="16"/>
                              </w:rPr>
                            </w:pPr>
                            <w:r>
                              <w:rPr>
                                <w:sz w:val="16"/>
                                <w:szCs w:val="16"/>
                              </w:rPr>
                              <w:t>2.70</w:t>
                            </w:r>
                          </w:p>
                        </w:tc>
                        <w:tc>
                          <w:tcPr>
                            <w:tcW w:w="720" w:type="dxa"/>
                            <w:tcBorders>
                              <w:top w:val="single" w:sz="6" w:space="0" w:color="000000"/>
                              <w:start w:val="dashed" w:sz="6" w:space="0" w:color="auto"/>
                              <w:bottom w:val="dashed" w:sz="6" w:space="0" w:color="auto"/>
                              <w:end w:val="single" w:sz="6" w:space="0" w:color="000000"/>
                            </w:tcBorders>
                          </w:tcPr>
                          <w:p>
                            <w:pPr>
                              <w:pStyle w:val="Normal"/>
                              <w:jc w:val="end"/>
                              <w:rPr>
                                <w:sz w:val="16"/>
                                <w:szCs w:val="16"/>
                              </w:rPr>
                            </w:pPr>
                            <w:r>
                              <w:rPr>
                                <w:sz w:val="16"/>
                                <w:szCs w:val="16"/>
                              </w:rPr>
                              <w:t>22.30</w:t>
                            </w:r>
                          </w:p>
                        </w:tc>
                        <w:tc>
                          <w:tcPr>
                            <w:tcW w:w="1620" w:type="dxa"/>
                            <w:tcBorders>
                              <w:top w:val="dashed" w:sz="6" w:space="0" w:color="auto"/>
                              <w:start w:val="single" w:sz="6" w:space="0" w:color="000000"/>
                              <w:bottom w:val="dashed" w:sz="6" w:space="0" w:color="auto"/>
                              <w:end w:val="dashed" w:sz="6" w:space="0" w:color="auto"/>
                            </w:tcBorders>
                          </w:tcPr>
                          <w:p>
                            <w:pPr>
                              <w:pStyle w:val="Normal"/>
                              <w:rPr>
                                <w:sz w:val="16"/>
                                <w:szCs w:val="16"/>
                              </w:rPr>
                            </w:pPr>
                            <w:r>
                              <w:rPr>
                                <w:sz w:val="16"/>
                                <w:szCs w:val="16"/>
                              </w:rPr>
                              <w:t>EBITDA/Int. Exp.</w:t>
                            </w:r>
                          </w:p>
                        </w:tc>
                        <w:tc>
                          <w:tcPr>
                            <w:tcW w:w="108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1.2</w:t>
                            </w:r>
                          </w:p>
                        </w:tc>
                        <w:tc>
                          <w:tcPr>
                            <w:tcW w:w="1800" w:type="dxa"/>
                            <w:tcBorders>
                              <w:top w:val="dashed" w:sz="6" w:space="0" w:color="auto"/>
                              <w:start w:val="dashed" w:sz="6" w:space="0" w:color="auto"/>
                              <w:bottom w:val="dashed" w:sz="6" w:space="0" w:color="auto"/>
                              <w:end w:val="dashed" w:sz="6" w:space="0" w:color="auto"/>
                            </w:tcBorders>
                          </w:tcPr>
                          <w:p>
                            <w:pPr>
                              <w:pStyle w:val="Normal"/>
                              <w:rPr>
                                <w:sz w:val="16"/>
                                <w:szCs w:val="16"/>
                              </w:rPr>
                            </w:pPr>
                            <w:r>
                              <w:rPr>
                                <w:sz w:val="16"/>
                                <w:szCs w:val="16"/>
                              </w:rPr>
                              <w:t>Market Cap. US$MM</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9,378</w:t>
                            </w:r>
                          </w:p>
                        </w:tc>
                      </w:tr>
                      <w:tr>
                        <w:trPr/>
                        <w:tc>
                          <w:tcPr>
                            <w:tcW w:w="828" w:type="dxa"/>
                            <w:tcBorders>
                              <w:top w:val="dashed" w:sz="6" w:space="0" w:color="auto"/>
                              <w:start w:val="dashed" w:sz="6" w:space="0" w:color="auto"/>
                              <w:bottom w:val="dashed" w:sz="6" w:space="0" w:color="auto"/>
                              <w:end w:val="dashed" w:sz="6" w:space="0" w:color="auto"/>
                            </w:tcBorders>
                          </w:tcPr>
                          <w:p>
                            <w:pPr>
                              <w:pStyle w:val="Normal"/>
                              <w:jc w:val="center"/>
                              <w:rPr>
                                <w:sz w:val="16"/>
                                <w:szCs w:val="16"/>
                              </w:rPr>
                            </w:pPr>
                            <w:r>
                              <w:rPr>
                                <w:sz w:val="16"/>
                                <w:szCs w:val="16"/>
                              </w:rPr>
                              <w:t>01</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2.02</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15.21</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4.85</w:t>
                            </w:r>
                          </w:p>
                        </w:tc>
                        <w:tc>
                          <w:tcPr>
                            <w:tcW w:w="720" w:type="dxa"/>
                            <w:tcBorders>
                              <w:top w:val="dashed" w:sz="6" w:space="0" w:color="auto"/>
                              <w:start w:val="dashed" w:sz="6" w:space="0" w:color="auto"/>
                              <w:bottom w:val="dashed" w:sz="6" w:space="0" w:color="auto"/>
                              <w:end w:val="single" w:sz="6" w:space="0" w:color="000000"/>
                            </w:tcBorders>
                          </w:tcPr>
                          <w:p>
                            <w:pPr>
                              <w:pStyle w:val="Normal"/>
                              <w:jc w:val="end"/>
                              <w:rPr>
                                <w:sz w:val="16"/>
                                <w:szCs w:val="16"/>
                              </w:rPr>
                            </w:pPr>
                            <w:r>
                              <w:rPr>
                                <w:sz w:val="16"/>
                                <w:szCs w:val="16"/>
                              </w:rPr>
                              <w:t>12.97</w:t>
                            </w:r>
                          </w:p>
                        </w:tc>
                        <w:tc>
                          <w:tcPr>
                            <w:tcW w:w="1620" w:type="dxa"/>
                            <w:tcBorders>
                              <w:top w:val="dashed" w:sz="6" w:space="0" w:color="auto"/>
                              <w:start w:val="single" w:sz="6" w:space="0" w:color="000000"/>
                              <w:bottom w:val="dashed" w:sz="6" w:space="0" w:color="auto"/>
                              <w:end w:val="dashed" w:sz="6" w:space="0" w:color="auto"/>
                            </w:tcBorders>
                          </w:tcPr>
                          <w:p>
                            <w:pPr>
                              <w:pStyle w:val="Normal"/>
                              <w:rPr>
                                <w:sz w:val="16"/>
                                <w:szCs w:val="16"/>
                              </w:rPr>
                            </w:pPr>
                            <w:r>
                              <w:rPr>
                                <w:sz w:val="16"/>
                                <w:szCs w:val="16"/>
                              </w:rPr>
                              <w:t>PEG</w:t>
                            </w:r>
                          </w:p>
                        </w:tc>
                        <w:tc>
                          <w:tcPr>
                            <w:tcW w:w="108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0.47</w:t>
                            </w:r>
                          </w:p>
                        </w:tc>
                        <w:tc>
                          <w:tcPr>
                            <w:tcW w:w="1800" w:type="dxa"/>
                            <w:tcBorders>
                              <w:top w:val="dashed" w:sz="6" w:space="0" w:color="auto"/>
                              <w:start w:val="dashed" w:sz="6" w:space="0" w:color="auto"/>
                              <w:bottom w:val="dashed" w:sz="6" w:space="0" w:color="auto"/>
                              <w:end w:val="dashed" w:sz="6" w:space="0" w:color="auto"/>
                            </w:tcBorders>
                          </w:tcPr>
                          <w:p>
                            <w:pPr>
                              <w:pStyle w:val="Normal"/>
                              <w:rPr>
                                <w:sz w:val="16"/>
                                <w:szCs w:val="16"/>
                              </w:rPr>
                            </w:pPr>
                            <w:r>
                              <w:rPr>
                                <w:sz w:val="16"/>
                                <w:szCs w:val="16"/>
                              </w:rPr>
                              <w:t>Avg. Vol.  US$MM</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5.23</w:t>
                            </w:r>
                          </w:p>
                        </w:tc>
                      </w:tr>
                      <w:tr>
                        <w:trPr/>
                        <w:tc>
                          <w:tcPr>
                            <w:tcW w:w="828" w:type="dxa"/>
                            <w:tcBorders>
                              <w:top w:val="dashed" w:sz="6" w:space="0" w:color="auto"/>
                              <w:start w:val="dashed" w:sz="6" w:space="0" w:color="auto"/>
                              <w:bottom w:val="dashed" w:sz="6" w:space="0" w:color="auto"/>
                              <w:end w:val="dashed" w:sz="6" w:space="0" w:color="auto"/>
                            </w:tcBorders>
                          </w:tcPr>
                          <w:p>
                            <w:pPr>
                              <w:pStyle w:val="Normal"/>
                              <w:jc w:val="center"/>
                              <w:rPr>
                                <w:sz w:val="16"/>
                                <w:szCs w:val="16"/>
                              </w:rPr>
                            </w:pPr>
                            <w:r>
                              <w:rPr>
                                <w:sz w:val="16"/>
                                <w:szCs w:val="16"/>
                              </w:rPr>
                              <w:t>02</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2.52</w:t>
                            </w:r>
                          </w:p>
                        </w:tc>
                        <w:tc>
                          <w:tcPr>
                            <w:tcW w:w="72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12.20</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6.12</w:t>
                            </w:r>
                          </w:p>
                        </w:tc>
                        <w:tc>
                          <w:tcPr>
                            <w:tcW w:w="720" w:type="dxa"/>
                            <w:tcBorders>
                              <w:top w:val="dashed" w:sz="6" w:space="0" w:color="auto"/>
                              <w:start w:val="dashed" w:sz="6" w:space="0" w:color="auto"/>
                              <w:bottom w:val="dashed" w:sz="6" w:space="0" w:color="auto"/>
                              <w:end w:val="single" w:sz="6" w:space="0" w:color="000000"/>
                            </w:tcBorders>
                          </w:tcPr>
                          <w:p>
                            <w:pPr>
                              <w:pStyle w:val="Normal"/>
                              <w:jc w:val="end"/>
                              <w:rPr>
                                <w:sz w:val="16"/>
                                <w:szCs w:val="16"/>
                              </w:rPr>
                            </w:pPr>
                            <w:r>
                              <w:rPr>
                                <w:sz w:val="16"/>
                                <w:szCs w:val="16"/>
                              </w:rPr>
                              <w:t>10.28</w:t>
                            </w:r>
                          </w:p>
                        </w:tc>
                        <w:tc>
                          <w:tcPr>
                            <w:tcW w:w="1620" w:type="dxa"/>
                            <w:tcBorders>
                              <w:top w:val="dashed" w:sz="6" w:space="0" w:color="auto"/>
                              <w:start w:val="single" w:sz="6" w:space="0" w:color="000000"/>
                              <w:bottom w:val="dashed" w:sz="6" w:space="0" w:color="auto"/>
                              <w:end w:val="dashed" w:sz="6" w:space="0" w:color="auto"/>
                            </w:tcBorders>
                          </w:tcPr>
                          <w:p>
                            <w:pPr>
                              <w:pStyle w:val="Normal"/>
                              <w:rPr>
                                <w:sz w:val="16"/>
                                <w:szCs w:val="16"/>
                              </w:rPr>
                            </w:pPr>
                            <w:r>
                              <w:rPr>
                                <w:sz w:val="16"/>
                                <w:szCs w:val="16"/>
                              </w:rPr>
                              <w:t>Yield %</w:t>
                            </w:r>
                          </w:p>
                        </w:tc>
                        <w:tc>
                          <w:tcPr>
                            <w:tcW w:w="108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4.8%</w:t>
                            </w:r>
                          </w:p>
                        </w:tc>
                        <w:tc>
                          <w:tcPr>
                            <w:tcW w:w="1800" w:type="dxa"/>
                            <w:tcBorders>
                              <w:top w:val="dashed" w:sz="6" w:space="0" w:color="auto"/>
                              <w:start w:val="dashed" w:sz="6" w:space="0" w:color="auto"/>
                              <w:bottom w:val="dashed" w:sz="6" w:space="0" w:color="auto"/>
                              <w:end w:val="dashed" w:sz="6" w:space="0" w:color="auto"/>
                            </w:tcBorders>
                          </w:tcPr>
                          <w:p>
                            <w:pPr>
                              <w:pStyle w:val="Normal"/>
                              <w:rPr>
                                <w:sz w:val="16"/>
                                <w:szCs w:val="16"/>
                              </w:rPr>
                            </w:pPr>
                            <w:r>
                              <w:rPr>
                                <w:sz w:val="16"/>
                                <w:szCs w:val="16"/>
                              </w:rPr>
                              <w:t xml:space="preserve">Free Float </w:t>
                            </w:r>
                          </w:p>
                        </w:tc>
                        <w:tc>
                          <w:tcPr>
                            <w:tcW w:w="900" w:type="dxa"/>
                            <w:tcBorders>
                              <w:top w:val="dashed" w:sz="6" w:space="0" w:color="auto"/>
                              <w:start w:val="dashed" w:sz="6" w:space="0" w:color="auto"/>
                              <w:bottom w:val="dashed" w:sz="6" w:space="0" w:color="auto"/>
                              <w:end w:val="dashed" w:sz="6" w:space="0" w:color="auto"/>
                            </w:tcBorders>
                          </w:tcPr>
                          <w:p>
                            <w:pPr>
                              <w:pStyle w:val="Normal"/>
                              <w:jc w:val="end"/>
                              <w:rPr>
                                <w:sz w:val="16"/>
                                <w:szCs w:val="16"/>
                              </w:rPr>
                            </w:pPr>
                            <w:r>
                              <w:rPr>
                                <w:sz w:val="16"/>
                                <w:szCs w:val="16"/>
                              </w:rPr>
                              <w:t>9.0%</w:t>
                            </w:r>
                          </w:p>
                        </w:tc>
                      </w:tr>
                      <w:tr>
                        <w:trPr/>
                        <w:tc>
                          <w:tcPr>
                            <w:tcW w:w="828" w:type="dxa"/>
                            <w:tcBorders>
                              <w:top w:val="dashed" w:sz="6" w:space="0" w:color="auto"/>
                              <w:start w:val="dashed" w:sz="6" w:space="0" w:color="auto"/>
                              <w:bottom w:val="single" w:sz="6" w:space="0" w:color="000000"/>
                              <w:end w:val="dashed" w:sz="6" w:space="0" w:color="auto"/>
                            </w:tcBorders>
                          </w:tcPr>
                          <w:p>
                            <w:pPr>
                              <w:pStyle w:val="Normal"/>
                              <w:jc w:val="center"/>
                              <w:rPr>
                                <w:sz w:val="16"/>
                                <w:szCs w:val="16"/>
                              </w:rPr>
                            </w:pPr>
                            <w:r>
                              <w:rPr>
                                <w:sz w:val="16"/>
                                <w:szCs w:val="16"/>
                              </w:rPr>
                              <w:t>03</w:t>
                            </w:r>
                          </w:p>
                        </w:tc>
                        <w:tc>
                          <w:tcPr>
                            <w:tcW w:w="72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3.35</w:t>
                            </w:r>
                          </w:p>
                        </w:tc>
                        <w:tc>
                          <w:tcPr>
                            <w:tcW w:w="72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9.15</w:t>
                            </w:r>
                          </w:p>
                        </w:tc>
                        <w:tc>
                          <w:tcPr>
                            <w:tcW w:w="90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8.11</w:t>
                            </w:r>
                          </w:p>
                        </w:tc>
                        <w:tc>
                          <w:tcPr>
                            <w:tcW w:w="720" w:type="dxa"/>
                            <w:tcBorders>
                              <w:top w:val="dashed" w:sz="6" w:space="0" w:color="auto"/>
                              <w:start w:val="dashed" w:sz="6" w:space="0" w:color="auto"/>
                              <w:bottom w:val="single" w:sz="6" w:space="0" w:color="000000"/>
                              <w:end w:val="single" w:sz="6" w:space="0" w:color="000000"/>
                            </w:tcBorders>
                          </w:tcPr>
                          <w:p>
                            <w:pPr>
                              <w:pStyle w:val="Normal"/>
                              <w:jc w:val="end"/>
                              <w:rPr>
                                <w:sz w:val="16"/>
                                <w:szCs w:val="16"/>
                              </w:rPr>
                            </w:pPr>
                            <w:r>
                              <w:rPr>
                                <w:sz w:val="16"/>
                                <w:szCs w:val="16"/>
                              </w:rPr>
                              <w:t>7.75</w:t>
                            </w:r>
                          </w:p>
                        </w:tc>
                        <w:tc>
                          <w:tcPr>
                            <w:tcW w:w="1620" w:type="dxa"/>
                            <w:tcBorders>
                              <w:top w:val="dashed" w:sz="6" w:space="0" w:color="auto"/>
                              <w:start w:val="single" w:sz="6" w:space="0" w:color="000000"/>
                              <w:bottom w:val="single" w:sz="6" w:space="0" w:color="000000"/>
                              <w:end w:val="dashed" w:sz="6" w:space="0" w:color="auto"/>
                            </w:tcBorders>
                          </w:tcPr>
                          <w:p>
                            <w:pPr>
                              <w:pStyle w:val="Normal"/>
                              <w:rPr>
                                <w:sz w:val="16"/>
                                <w:szCs w:val="16"/>
                              </w:rPr>
                            </w:pPr>
                            <w:r>
                              <w:rPr>
                                <w:sz w:val="16"/>
                                <w:szCs w:val="16"/>
                              </w:rPr>
                              <w:t>52 Wk. Range</w:t>
                            </w:r>
                          </w:p>
                        </w:tc>
                        <w:tc>
                          <w:tcPr>
                            <w:tcW w:w="1080" w:type="dxa"/>
                            <w:tcBorders>
                              <w:top w:val="dashed" w:sz="6" w:space="0" w:color="auto"/>
                              <w:start w:val="dashed" w:sz="6" w:space="0" w:color="auto"/>
                              <w:bottom w:val="single" w:sz="6" w:space="0" w:color="000000"/>
                              <w:end w:val="dashed" w:sz="6" w:space="0" w:color="auto"/>
                            </w:tcBorders>
                          </w:tcPr>
                          <w:p>
                            <w:pPr>
                              <w:pStyle w:val="Normal"/>
                              <w:jc w:val="end"/>
                              <w:rPr/>
                            </w:pPr>
                            <w:r>
                              <w:rPr>
                                <w:sz w:val="16"/>
                                <w:szCs w:val="16"/>
                              </w:rPr>
                              <w:t>27.80</w:t>
                            </w:r>
                            <w:r>
                              <w:rPr>
                                <w:rFonts w:eastAsia="Arial Narrow" w:cs="Arial Narrow" w:ascii="Arial Narrow" w:hAnsi="Arial Narrow"/>
                                <w:sz w:val="16"/>
                                <w:szCs w:val="16"/>
                              </w:rPr>
                              <w:t>–</w:t>
                            </w:r>
                            <w:r>
                              <w:rPr>
                                <w:sz w:val="16"/>
                                <w:szCs w:val="16"/>
                              </w:rPr>
                              <w:t>58.04</w:t>
                            </w:r>
                          </w:p>
                        </w:tc>
                        <w:tc>
                          <w:tcPr>
                            <w:tcW w:w="1800" w:type="dxa"/>
                            <w:tcBorders>
                              <w:top w:val="dashed" w:sz="6" w:space="0" w:color="auto"/>
                              <w:start w:val="dashed" w:sz="6" w:space="0" w:color="auto"/>
                              <w:bottom w:val="single" w:sz="6" w:space="0" w:color="000000"/>
                              <w:end w:val="dashed" w:sz="6" w:space="0" w:color="auto"/>
                            </w:tcBorders>
                          </w:tcPr>
                          <w:p>
                            <w:pPr>
                              <w:pStyle w:val="Normal"/>
                              <w:rPr>
                                <w:sz w:val="16"/>
                                <w:szCs w:val="16"/>
                              </w:rPr>
                            </w:pPr>
                            <w:r>
                              <w:rPr>
                                <w:sz w:val="16"/>
                                <w:szCs w:val="16"/>
                              </w:rPr>
                              <w:t xml:space="preserve">Debt/Equity </w:t>
                            </w:r>
                          </w:p>
                        </w:tc>
                        <w:tc>
                          <w:tcPr>
                            <w:tcW w:w="900" w:type="dxa"/>
                            <w:tcBorders>
                              <w:top w:val="dashed" w:sz="6" w:space="0" w:color="auto"/>
                              <w:start w:val="dashed" w:sz="6" w:space="0" w:color="auto"/>
                              <w:bottom w:val="single" w:sz="6" w:space="0" w:color="000000"/>
                              <w:end w:val="dashed" w:sz="6" w:space="0" w:color="auto"/>
                            </w:tcBorders>
                          </w:tcPr>
                          <w:p>
                            <w:pPr>
                              <w:pStyle w:val="Normal"/>
                              <w:jc w:val="end"/>
                              <w:rPr>
                                <w:sz w:val="16"/>
                                <w:szCs w:val="16"/>
                              </w:rPr>
                            </w:pPr>
                            <w:r>
                              <w:rPr>
                                <w:sz w:val="16"/>
                                <w:szCs w:val="16"/>
                              </w:rPr>
                              <w:t>1.3</w:t>
                            </w:r>
                          </w:p>
                        </w:tc>
                      </w:tr>
                    </w:tbl>
                  </w:txbxContent>
                </v:textbox>
                <w10:wrap type="square"/>
              </v:rect>
            </w:pict>
          </mc:Fallback>
        </mc:AlternateContent>
      </w:r>
    </w:p>
    <w:sectPr>
      <w:type w:val="nextPage"/>
      <w:pgSz w:w="12240" w:h="15840"/>
      <w:pgMar w:left="864" w:right="864" w:gutter="0" w:header="0" w:top="540" w:footer="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ahoma">
    <w:charset w:val="01"/>
    <w:family w:val="swiss"/>
    <w:pitch w:val="variable"/>
  </w:font>
  <w:font w:name="Courier New">
    <w:charset w:val="01"/>
    <w:family w:val="modern"/>
    <w:pitch w:val="default"/>
  </w:font>
  <w:font w:name="BakerSignet">
    <w:charset w:val="01"/>
    <w:family w:val="roman"/>
    <w:pitch w:val="variable"/>
  </w:font>
  <w:font w:name="Arial Narrow">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gothicb">
    <w:name w:val="gothicb"/>
    <w:basedOn w:val="DefaultParagraphFont"/>
    <w:qFormat/>
    <w:rPr>
      <w:rFonts w:ascii="Arial" w:hAnsi="Arial" w:eastAsia="Arial" w:cs="Arial"/>
      <w:b/>
      <w:bCs/>
      <w:color w:val="auto"/>
      <w:sz w:val="22"/>
      <w:szCs w:val="22"/>
    </w:rPr>
  </w:style>
  <w:style w:type="character" w:styleId="Hyperlink">
    <w:name w:val="Hyperlink"/>
    <w:basedOn w:val="DefaultParagraphFont"/>
    <w:qFormat/>
    <w:rPr>
      <w:color w:val="auto"/>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105" w:start="0" w:end="0"/>
    </w:pPr>
    <w:rPr>
      <w:b/>
      <w:bCs/>
    </w:rPr>
  </w:style>
  <w:style w:type="paragraph" w:styleId="BalloonText">
    <w:name w:val="Balloon Text"/>
    <w:basedOn w:val="Normal"/>
    <w:qFormat/>
    <w:pPr/>
    <w:rPr>
      <w:rFonts w:ascii="Tahoma" w:hAnsi="Tahoma" w:eastAsia="Tahoma" w:cs="Tahoma"/>
      <w:sz w:val="16"/>
      <w:szCs w:val="16"/>
    </w:rPr>
  </w:style>
  <w:style w:type="paragraph" w:styleId="NormalWeb">
    <w:name w:val="Normal (Web)"/>
    <w:basedOn w:val="Normal"/>
    <w:qFormat/>
    <w:pPr>
      <w:spacing w:before="100" w:after="100"/>
    </w:pPr>
    <w:rPr>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arial11normal">
    <w:name w:val="arial11normal"/>
    <w:basedOn w:val="Normal"/>
    <w:qFormat/>
    <w:pPr>
      <w:spacing w:before="100" w:after="100"/>
    </w:pPr>
    <w:rPr>
      <w:rFonts w:ascii="Arial" w:hAnsi="Arial" w:eastAsia="Arial" w:cs="Arial"/>
      <w:color w:val="000000"/>
      <w:sz w:val="14"/>
      <w:szCs w:val="14"/>
    </w:rPr>
  </w:style>
  <w:style w:type="paragraph" w:styleId="arial12normal">
    <w:name w:val="arial12normal"/>
    <w:basedOn w:val="Normal"/>
    <w:qFormat/>
    <w:pPr>
      <w:spacing w:before="100" w:after="100"/>
    </w:pPr>
    <w:rPr>
      <w:rFonts w:ascii="Arial" w:hAnsi="Arial" w:eastAsia="Arial" w:cs="Arial"/>
      <w:color w:val="000000"/>
      <w:sz w:val="15"/>
      <w:szCs w:val="15"/>
    </w:rPr>
  </w:style>
  <w:style w:type="paragraph" w:styleId="arial12link">
    <w:name w:val="arial12link"/>
    <w:basedOn w:val="Normal"/>
    <w:qFormat/>
    <w:pPr>
      <w:spacing w:before="100" w:after="100"/>
    </w:pPr>
    <w:rPr>
      <w:rFonts w:ascii="Arial" w:hAnsi="Arial" w:eastAsia="Arial" w:cs="Arial"/>
      <w:color w:val="008080"/>
      <w:sz w:val="15"/>
      <w:szCs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2001-09-08T00:25:00Z</dcterms:created>
  <dc:creator>SHUN CAI</dc:creator>
  <dc:description/>
  <dc:language>en-CA</dc:language>
  <cp:lastModifiedBy>Reed Wasden Research</cp:lastModifiedBy>
  <cp:lastPrinted>2001-09-06T12:14:00Z</cp:lastPrinted>
  <dcterms:modified xsi:type="dcterms:W3CDTF">2001-09-08T00:25:00Z</dcterms:modified>
  <cp:revision>2</cp:revision>
  <dc:subject/>
  <dc:title>USP Traders: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763883606</vt:r8>
  </property>
  <property fmtid="{D5CDD505-2E9C-101B-9397-08002B2CF9AE}" pid="3" name="_AuthorEmail">
    <vt:lpwstr>Reports@REEDWASDEN.com</vt:lpwstr>
  </property>
  <property fmtid="{D5CDD505-2E9C-101B-9397-08002B2CF9AE}" pid="4" name="_AuthorEmailDisplayName">
    <vt:lpwstr>Reed Wasden Research</vt:lpwstr>
  </property>
  <property fmtid="{D5CDD505-2E9C-101B-9397-08002B2CF9AE}" pid="5" name="_EmailSubject">
    <vt:lpwstr>The Prometheus File - Energy Technology Weekly 09/07/01</vt:lpwstr>
  </property>
  <property fmtid="{D5CDD505-2E9C-101B-9397-08002B2CF9AE}" pid="6" name="_PreviousAdHocReviewCycleID">
    <vt:r8>-1253005508</vt:r8>
  </property>
</Properties>
</file>