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432"/>
        <w:jc w:val="center"/>
        <w:outlineLvl w:val="0"/>
        <w:rPr>
          <w:b/>
          <w:i/>
          <w:i/>
          <w:sz w:val="28"/>
        </w:rPr>
      </w:pPr>
      <w:r>
        <w:rPr>
          <w:b/>
          <w:i/>
          <w:sz w:val="28"/>
        </w:rPr>
      </w:r>
    </w:p>
    <w:p>
      <w:pPr>
        <w:pStyle w:val="Normal"/>
        <w:numPr>
          <w:ilvl w:val="0"/>
          <w:numId w:val="0"/>
        </w:numPr>
        <w:ind w:hanging="0" w:start="432"/>
        <w:jc w:val="end"/>
        <w:outlineLvl w:val="0"/>
        <w:rPr>
          <w:b/>
        </w:rPr>
      </w:pPr>
      <w:r>
        <w:rPr/>
        <w:drawing>
          <wp:inline distT="0" distB="0" distL="0" distR="0">
            <wp:extent cx="1308100" cy="1183005"/>
            <wp:effectExtent l="0" t="0" r="0" b="0"/>
            <wp:docPr id="1" name="EE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E" descr="" title=""/>
                    <pic:cNvPicPr>
                      <a:picLocks noChangeAspect="1" noChangeArrowheads="1"/>
                    </pic:cNvPicPr>
                  </pic:nvPicPr>
                  <pic:blipFill>
                    <a:blip r:embed="rId2"/>
                    <a:srcRect l="-44" t="-45" r="-44" b="-45"/>
                    <a:stretch>
                      <a:fillRect/>
                    </a:stretch>
                  </pic:blipFill>
                  <pic:spPr bwMode="auto">
                    <a:xfrm>
                      <a:off x="0" y="0"/>
                      <a:ext cx="1308100" cy="1183005"/>
                    </a:xfrm>
                    <a:prstGeom prst="rect">
                      <a:avLst/>
                    </a:prstGeom>
                    <a:noFill/>
                  </pic:spPr>
                </pic:pic>
              </a:graphicData>
            </a:graphic>
          </wp:inline>
        </w:drawing>
      </w:r>
    </w:p>
    <w:p>
      <w:pPr>
        <w:pStyle w:val="Normal"/>
        <w:jc w:val="center"/>
        <w:rPr>
          <w:b/>
        </w:rPr>
      </w:pPr>
      <w:r>
        <w:rPr>
          <w:b/>
        </w:rPr>
      </w:r>
    </w:p>
    <w:p>
      <w:pPr>
        <w:pStyle w:val="Normal"/>
        <w:jc w:val="center"/>
        <w:rPr/>
      </w:pPr>
      <w:r>
        <w:rPr/>
      </w:r>
    </w:p>
    <w:p>
      <w:pPr>
        <w:pStyle w:val="Normal"/>
        <w:jc w:val="end"/>
        <w:rPr/>
      </w:pPr>
      <w:r>
        <w:rPr/>
      </w:r>
    </w:p>
    <w:p>
      <w:pPr>
        <w:pStyle w:val="Normal"/>
        <w:jc w:val="center"/>
        <w:rPr>
          <w:sz w:val="36"/>
        </w:rPr>
      </w:pPr>
      <w:r>
        <w:rPr>
          <w:sz w:val="36"/>
        </w:rPr>
        <w:t>Expression of Interest for the Provision of</w:t>
      </w:r>
    </w:p>
    <w:p>
      <w:pPr>
        <w:pStyle w:val="Normal"/>
        <w:jc w:val="center"/>
        <w:rPr>
          <w:sz w:val="36"/>
        </w:rPr>
      </w:pPr>
      <w:r>
        <w:rPr>
          <w:sz w:val="36"/>
        </w:rPr>
        <w:t>Wholesale Gas Services</w:t>
      </w:r>
    </w:p>
    <w:p>
      <w:pPr>
        <w:pStyle w:val="Normal"/>
        <w:jc w:val="center"/>
        <w:rPr>
          <w:sz w:val="36"/>
        </w:rPr>
      </w:pPr>
      <w:r>
        <w:rPr>
          <w:sz w:val="36"/>
        </w:rPr>
      </w:r>
    </w:p>
    <w:p>
      <w:pPr>
        <w:pStyle w:val="Normal"/>
        <w:jc w:val="center"/>
        <w:rPr>
          <w:sz w:val="36"/>
        </w:rPr>
      </w:pPr>
      <w:r>
        <w:rPr>
          <w:sz w:val="36"/>
        </w:rPr>
        <w:t>to</w:t>
      </w:r>
    </w:p>
    <w:p>
      <w:pPr>
        <w:pStyle w:val="TOC4"/>
        <w:rPr>
          <w:rFonts w:ascii="Arial" w:hAnsi="Arial" w:cs="Arial"/>
          <w:sz w:val="36"/>
        </w:rPr>
      </w:pPr>
      <w:r>
        <w:rPr>
          <w:rFonts w:cs="Arial" w:ascii="Arial" w:hAnsi="Arial"/>
          <w:sz w:val="36"/>
        </w:rPr>
      </w:r>
    </w:p>
    <w:p>
      <w:pPr>
        <w:pStyle w:val="Normal"/>
        <w:jc w:val="center"/>
        <w:rPr>
          <w:rFonts w:ascii="Arial" w:hAnsi="Arial" w:cs="Arial"/>
          <w:sz w:val="36"/>
        </w:rPr>
      </w:pPr>
      <w:r>
        <w:rPr>
          <w:rFonts w:cs="Arial"/>
          <w:sz w:val="36"/>
        </w:rPr>
      </w:r>
    </w:p>
    <w:p>
      <w:pPr>
        <w:pStyle w:val="Normal"/>
        <w:jc w:val="center"/>
        <w:rPr>
          <w:sz w:val="24"/>
        </w:rPr>
      </w:pPr>
      <w:r>
        <w:rPr>
          <w:sz w:val="36"/>
        </w:rPr>
        <w:t xml:space="preserve">Calpine Canada </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36"/>
        </w:rPr>
      </w:pPr>
      <w:r>
        <w:rPr>
          <w:sz w:val="36"/>
        </w:rPr>
      </w:r>
    </w:p>
    <w:p>
      <w:pPr>
        <w:pStyle w:val="Normal"/>
        <w:jc w:val="center"/>
        <w:rPr>
          <w:sz w:val="36"/>
        </w:rPr>
      </w:pPr>
      <w:r>
        <w:rPr>
          <w:sz w:val="36"/>
        </w:rPr>
      </w:r>
    </w:p>
    <w:p>
      <w:pPr>
        <w:pStyle w:val="Normal"/>
        <w:jc w:val="center"/>
        <w:rPr>
          <w:b/>
          <w:i/>
          <w:i/>
          <w:color w:val="FF0000"/>
          <w:sz w:val="28"/>
        </w:rPr>
      </w:pPr>
      <w:r>
        <w:rPr>
          <w:b/>
          <w:i/>
          <w:color w:val="FF0000"/>
          <w:sz w:val="28"/>
        </w:rPr>
        <w:t>CONFIDENTIAL</w:t>
      </w:r>
    </w:p>
    <w:p>
      <w:pPr>
        <w:pStyle w:val="Normal"/>
        <w:numPr>
          <w:ilvl w:val="0"/>
          <w:numId w:val="0"/>
        </w:numPr>
        <w:ind w:hanging="0" w:start="432"/>
        <w:jc w:val="center"/>
        <w:outlineLvl w:val="0"/>
        <w:rPr>
          <w:b/>
          <w:i/>
          <w:i/>
          <w:color w:val="FF0000"/>
          <w:sz w:val="32"/>
        </w:rPr>
      </w:pPr>
      <w:r>
        <w:rPr>
          <w:b/>
          <w:i/>
          <w:color w:val="FF0000"/>
          <w:sz w:val="32"/>
        </w:rPr>
      </w:r>
    </w:p>
    <w:p>
      <w:pPr>
        <w:pStyle w:val="Normal"/>
        <w:numPr>
          <w:ilvl w:val="0"/>
          <w:numId w:val="0"/>
        </w:numPr>
        <w:ind w:hanging="0" w:start="432"/>
        <w:jc w:val="center"/>
        <w:outlineLvl w:val="0"/>
        <w:rPr>
          <w:b/>
          <w:sz w:val="32"/>
        </w:rPr>
      </w:pPr>
      <w:r>
        <w:rPr>
          <w:b/>
          <w:sz w:val="32"/>
        </w:rPr>
      </w:r>
    </w:p>
    <w:p>
      <w:pPr>
        <w:pStyle w:val="Normal"/>
        <w:numPr>
          <w:ilvl w:val="0"/>
          <w:numId w:val="0"/>
        </w:numPr>
        <w:ind w:hanging="0" w:start="432"/>
        <w:jc w:val="center"/>
        <w:outlineLvl w:val="0"/>
        <w:rPr>
          <w:b/>
          <w:sz w:val="32"/>
        </w:rPr>
      </w:pPr>
      <w:r>
        <w:rPr>
          <w:b/>
          <w:sz w:val="32"/>
        </w:rPr>
        <w:t>July 8th, 2001</w:t>
      </w:r>
      <w:r>
        <w:br w:type="page"/>
      </w:r>
    </w:p>
    <w:p>
      <w:pPr>
        <w:pStyle w:val="Normal"/>
        <w:ind w:start="0" w:end="0"/>
        <w:rPr>
          <w:b/>
          <w:bCs/>
          <w:color w:val="000080"/>
          <w:sz w:val="40"/>
        </w:rPr>
      </w:pPr>
      <w:r>
        <w:rPr>
          <w:b/>
          <w:bCs/>
          <w:color w:val="000080"/>
          <w:sz w:val="40"/>
        </w:rPr>
        <w:t>Preface</w:t>
      </w:r>
    </w:p>
    <w:p>
      <w:pPr>
        <w:pStyle w:val="Normal"/>
        <w:ind w:start="0" w:end="0"/>
        <w:rPr>
          <w:sz w:val="20"/>
        </w:rPr>
      </w:pPr>
      <w:r>
        <w:rPr>
          <w:sz w:val="20"/>
        </w:rPr>
        <w:t xml:space="preserve">This document serves as Enron Canada Corp.’s expression of interest in providing gas management services related to Calpine Canada’s natural gas sales and procurement activities.  The proposal outlines and describes Enron’s ability to provide each of the services discussed previously with Calpine Canada, along with a fee for providing those services. The intent is that this document serves as a foundation for further discussions to define which of Enron Canada’s services are a best fit with Calpine Canada’s specific objectives. </w:t>
      </w:r>
    </w:p>
    <w:p>
      <w:pPr>
        <w:pStyle w:val="Normal"/>
        <w:ind w:start="0" w:end="0"/>
        <w:rPr>
          <w:sz w:val="20"/>
        </w:rPr>
      </w:pPr>
      <w:r>
        <w:rPr>
          <w:sz w:val="20"/>
        </w:rPr>
      </w:r>
    </w:p>
    <w:p>
      <w:pPr>
        <w:pStyle w:val="Normal"/>
        <w:ind w:start="0" w:end="0"/>
        <w:rPr>
          <w:sz w:val="20"/>
        </w:rPr>
      </w:pPr>
      <w:r>
        <w:rPr>
          <w:sz w:val="20"/>
        </w:rPr>
        <w:t xml:space="preserve">Enron Canada is uniquely qualified to assist Calpine Canada in both efficiently and accurately managing the operational aspects of its supply/sales/transport and in assisting with the optimization of the value inherent in Calpine Canada’s natural gas supply and transport assets.  </w:t>
      </w:r>
    </w:p>
    <w:p>
      <w:pPr>
        <w:pStyle w:val="Normal"/>
        <w:ind w:start="0" w:end="0"/>
        <w:rPr>
          <w:sz w:val="20"/>
        </w:rPr>
      </w:pPr>
      <w:r>
        <w:rPr>
          <w:sz w:val="20"/>
        </w:rPr>
      </w:r>
    </w:p>
    <w:p>
      <w:pPr>
        <w:pStyle w:val="Normal"/>
        <w:ind w:start="0" w:end="0"/>
        <w:rPr>
          <w:sz w:val="20"/>
        </w:rPr>
      </w:pPr>
      <w:r>
        <w:rPr>
          <w:sz w:val="20"/>
        </w:rPr>
      </w:r>
    </w:p>
    <w:p>
      <w:pPr>
        <w:pStyle w:val="Normal"/>
        <w:ind w:start="0" w:end="0"/>
        <w:rPr>
          <w:sz w:val="20"/>
        </w:rPr>
      </w:pPr>
      <w:r>
        <w:rPr>
          <w:sz w:val="20"/>
        </w:rPr>
      </w:r>
    </w:p>
    <w:p>
      <w:pPr>
        <w:pStyle w:val="Normal"/>
        <w:ind w:start="0" w:end="0"/>
        <w:rPr>
          <w:sz w:val="20"/>
        </w:rPr>
      </w:pPr>
      <w:r>
        <w:rPr>
          <w:sz w:val="20"/>
        </w:rPr>
      </w:r>
    </w:p>
    <w:p>
      <w:pPr>
        <w:pStyle w:val="Normal"/>
        <w:ind w:start="0" w:end="0"/>
        <w:rPr>
          <w:sz w:val="20"/>
        </w:rPr>
      </w:pPr>
      <w:r>
        <w:rPr>
          <w:sz w:val="20"/>
        </w:rPr>
      </w:r>
    </w:p>
    <w:p>
      <w:pPr>
        <w:pStyle w:val="Normal"/>
        <w:ind w:start="0" w:end="0"/>
        <w:rPr/>
      </w:pPr>
      <w:r>
        <w:rPr>
          <w:rFonts w:eastAsia="Arial"/>
        </w:rPr>
        <w:t xml:space="preserve">  </w:t>
      </w:r>
      <w:r>
        <w:rPr/>
        <w:tab/>
        <w:tab/>
        <w:tab/>
        <w:tab/>
        <w:tab/>
        <w:tab/>
        <w:tab/>
        <w:tab/>
        <w:tab/>
      </w:r>
    </w:p>
    <w:p>
      <w:pPr>
        <w:pStyle w:val="Normal"/>
        <w:ind w:start="0" w:end="0"/>
        <w:rPr>
          <w:rFonts w:eastAsia="Arial"/>
          <w:b/>
          <w:i/>
          <w:i/>
        </w:rPr>
      </w:pPr>
      <w:r>
        <w:rPr>
          <w:rFonts w:eastAsia="Arial"/>
          <w:b/>
          <w:i/>
        </w:rPr>
        <w:t xml:space="preserve"> </w:t>
      </w:r>
      <w:r>
        <w:br w:type="page"/>
      </w:r>
    </w:p>
    <w:p>
      <w:pPr>
        <w:pStyle w:val="Normal"/>
        <w:ind w:start="0" w:end="0"/>
        <w:rPr>
          <w:rFonts w:eastAsia="Arial"/>
        </w:rPr>
      </w:pPr>
      <w:r>
        <w:rPr>
          <w:rFonts w:eastAsia="Arial"/>
        </w:rPr>
        <w:t xml:space="preserve"> </w:t>
      </w:r>
    </w:p>
    <w:p>
      <w:pPr>
        <w:pStyle w:val="Normal"/>
        <w:ind w:start="0" w:end="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-67310</wp:posOffset>
                </wp:positionH>
                <wp:positionV relativeFrom="paragraph">
                  <wp:posOffset>-162560</wp:posOffset>
                </wp:positionV>
                <wp:extent cx="5609590" cy="351790"/>
                <wp:effectExtent l="0" t="0" r="0" b="0"/>
                <wp:wrapNone/>
                <wp:docPr id="2" name="Frame1"/>
                <a:graphic xmlns:a="http://schemas.openxmlformats.org/drawingml/2006/main">
                  <a:graphicData uri="http://schemas.microsoft.com/office/word/2010/wordprocessingShape">
                    <wps:wsp>
                      <wps:cNvSpPr txBox="1"/>
                      <wps:spPr>
                        <a:xfrm>
                          <a:off x="0" y="0"/>
                          <a:ext cx="5609590" cy="351790"/>
                        </a:xfrm>
                        <a:prstGeom prst="rect"/>
                        <a:solidFill>
                          <a:srgbClr val="C0C0C0"/>
                        </a:solidFill>
                        <a:ln w="9525">
                          <a:solidFill>
                            <a:srgbClr val="000000"/>
                          </a:solidFill>
                        </a:ln>
                      </wps:spPr>
                      <wps:txbx>
                        <w:txbxContent>
                          <w:p>
                            <w:pPr>
                              <w:pStyle w:val="Normal"/>
                              <w:numPr>
                                <w:ilvl w:val="0"/>
                                <w:numId w:val="9"/>
                              </w:numPr>
                              <w:tabs>
                                <w:tab w:val="clear" w:pos="720"/>
                                <w:tab w:val="left" w:pos="540" w:leader="none"/>
                              </w:tabs>
                              <w:rPr>
                                <w:b/>
                                <w:bCs/>
                                <w:color w:val="000080"/>
                                <w:sz w:val="36"/>
                              </w:rPr>
                            </w:pPr>
                            <w:r>
                              <w:rPr>
                                <w:b/>
                                <w:bCs/>
                                <w:color w:val="000080"/>
                                <w:sz w:val="36"/>
                              </w:rPr>
                              <w:t>Enron Canada Alliances Background</w:t>
                            </w:r>
                          </w:p>
                        </w:txbxContent>
                      </wps:txbx>
                      <wps:bodyPr anchor="t" lIns="91440" tIns="45720" rIns="91440" bIns="45720">
                        <a:noAutofit/>
                      </wps:bodyPr>
                    </wps:wsp>
                  </a:graphicData>
                </a:graphic>
              </wp:anchor>
            </w:drawing>
          </mc:Choice>
          <mc:Fallback>
            <w:pict>
              <v:rect fillcolor="#C0C0C0" strokecolor="#000000" strokeweight="0pt" style="position:absolute;rotation:-0;width:441.7pt;height:27.7pt;mso-wrap-distance-left:9.05pt;mso-wrap-distance-right:9.05pt;mso-wrap-distance-top:0pt;mso-wrap-distance-bottom:0pt;margin-top:-12.8pt;mso-position-vertical-relative:text;margin-left:-5.3pt;mso-position-horizontal-relative:text">
                <v:textbox>
                  <w:txbxContent>
                    <w:p>
                      <w:pPr>
                        <w:pStyle w:val="Normal"/>
                        <w:numPr>
                          <w:ilvl w:val="0"/>
                          <w:numId w:val="9"/>
                        </w:numPr>
                        <w:tabs>
                          <w:tab w:val="clear" w:pos="720"/>
                          <w:tab w:val="left" w:pos="540" w:leader="none"/>
                        </w:tabs>
                        <w:rPr>
                          <w:b/>
                          <w:bCs/>
                          <w:color w:val="000080"/>
                          <w:sz w:val="36"/>
                        </w:rPr>
                      </w:pPr>
                      <w:r>
                        <w:rPr>
                          <w:b/>
                          <w:bCs/>
                          <w:color w:val="000080"/>
                          <w:sz w:val="36"/>
                        </w:rPr>
                        <w:t>Enron Canada Alliances Background</w:t>
                      </w:r>
                    </w:p>
                  </w:txbxContent>
                </v:textbox>
                <w10:wrap type="none"/>
              </v:rect>
            </w:pict>
          </mc:Fallback>
        </mc:AlternateContent>
      </w:r>
    </w:p>
    <w:p>
      <w:pPr>
        <w:pStyle w:val="Normal"/>
        <w:ind w:start="0" w:end="0"/>
        <w:rPr/>
      </w:pPr>
      <w:r>
        <w:rPr/>
      </w:r>
    </w:p>
    <w:p>
      <w:pPr>
        <w:pStyle w:val="Heading3"/>
        <w:rPr/>
      </w:pPr>
      <w:r>
        <w:rPr/>
        <w:t>Enron Canada Corp.</w:t>
      </w:r>
    </w:p>
    <w:p>
      <w:pPr>
        <w:pStyle w:val="Normal"/>
        <w:ind w:start="0" w:end="0"/>
        <w:rPr>
          <w:sz w:val="20"/>
        </w:rPr>
      </w:pPr>
      <w:r>
        <w:rPr>
          <w:sz w:val="20"/>
        </w:rPr>
        <w:t>Enron Canada, headquartered in Calgary, currently employs 120 people with offices in Calgary (100) and Toronto (20).  Enron Canada is responsible for energy trading and marketing, energy asset management and outsourcing, energy asset development, and third party investment and financing activities within Canada.  Enron Canada sources and coordinates resources from the broader Enron family of companies, where needed, to ensure the best possible solutions are developed to meet each customer’s needs.</w:t>
      </w:r>
      <w:r>
        <mc:AlternateContent>
          <mc:Choice Requires="wps">
            <w:drawing>
              <wp:anchor behindDoc="0" distT="0" distB="0" distL="114935" distR="114935" simplePos="0" locked="0" layoutInCell="1" allowOverlap="1" relativeHeight="9">
                <wp:simplePos x="0" y="0"/>
                <wp:positionH relativeFrom="column">
                  <wp:posOffset>2337435</wp:posOffset>
                </wp:positionH>
                <wp:positionV relativeFrom="paragraph">
                  <wp:posOffset>1085215</wp:posOffset>
                </wp:positionV>
                <wp:extent cx="5670550" cy="618490"/>
                <wp:effectExtent l="0" t="0" r="0" b="0"/>
                <wp:wrapNone/>
                <wp:docPr id="3" name="Frame2"/>
                <a:graphic xmlns:a="http://schemas.openxmlformats.org/drawingml/2006/main">
                  <a:graphicData uri="http://schemas.microsoft.com/office/word/2010/wordprocessingShape">
                    <wps:wsp>
                      <wps:cNvSpPr txBox="1"/>
                      <wps:spPr>
                        <a:xfrm>
                          <a:off x="0" y="0"/>
                          <a:ext cx="5670550" cy="618490"/>
                        </a:xfrm>
                        <a:prstGeom prst="rect"/>
                        <a:solidFill>
                          <a:srgbClr val="FFFFFF">
                            <a:alpha val="0"/>
                          </a:srgbClr>
                        </a:solidFill>
                      </wps:spPr>
                      <wps:txbx>
                        <w:txbxContent>
                          <w:p>
                            <w:pPr>
                              <w:pStyle w:val="Normal"/>
                              <w:autoSpaceDE w:val="false"/>
                              <w:jc w:val="center"/>
                              <w:rPr>
                                <w:b/>
                                <w:bCs/>
                                <w:color w:val="000000"/>
                                <w:sz w:val="24"/>
                                <w:szCs w:val="24"/>
                              </w:rPr>
                            </w:pPr>
                            <w:r>
                              <w:rPr>
                                <w:b/>
                                <w:bCs/>
                                <w:color w:val="000000"/>
                                <w:sz w:val="24"/>
                                <w:szCs w:val="24"/>
                              </w:rPr>
                              <w:t>Enron Canada</w:t>
                            </w:r>
                          </w:p>
                          <w:p>
                            <w:pPr>
                              <w:pStyle w:val="Normal"/>
                              <w:autoSpaceDE w:val="false"/>
                              <w:jc w:val="center"/>
                              <w:rPr>
                                <w:b/>
                                <w:bCs/>
                                <w:color w:val="000000"/>
                                <w:sz w:val="24"/>
                                <w:szCs w:val="24"/>
                              </w:rPr>
                            </w:pPr>
                            <w:r>
                              <w:rPr>
                                <w:b/>
                                <w:bCs/>
                                <w:color w:val="000000"/>
                                <w:sz w:val="24"/>
                                <w:szCs w:val="24"/>
                              </w:rPr>
                              <w:t>Gas Volumes</w:t>
                            </w:r>
                          </w:p>
                          <w:p>
                            <w:pPr>
                              <w:pStyle w:val="Normal"/>
                              <w:autoSpaceDE w:val="false"/>
                              <w:jc w:val="center"/>
                              <w:rPr>
                                <w:b/>
                                <w:bCs/>
                                <w:color w:val="000000"/>
                                <w:sz w:val="24"/>
                                <w:szCs w:val="24"/>
                              </w:rPr>
                            </w:pPr>
                            <w:r>
                              <w:rPr>
                                <w:b/>
                                <w:bCs/>
                                <w:color w:val="000000"/>
                                <w:sz w:val="24"/>
                                <w:szCs w:val="24"/>
                              </w:rPr>
                              <w:t xml:space="preserve">(MMCFD) </w:t>
                            </w:r>
                          </w:p>
                        </w:txbxContent>
                      </wps:txbx>
                      <wps:bodyPr anchor="t" lIns="92075" tIns="46355" rIns="92075" bIns="46355">
                        <a:spAutoFit/>
                      </wps:bodyPr>
                    </wps:wsp>
                  </a:graphicData>
                </a:graphic>
              </wp:anchor>
            </w:drawing>
          </mc:Choice>
          <mc:Fallback>
            <w:pict>
              <v:rect fillcolor="#FFFFFF" style="position:absolute;rotation:-0;width:446.5pt;height:48.7pt;mso-wrap-distance-left:9.05pt;mso-wrap-distance-right:9.05pt;mso-wrap-distance-top:0pt;mso-wrap-distance-bottom:0pt;margin-top:85.45pt;mso-position-vertical-relative:text;margin-left:184.05pt;mso-position-horizontal-relative:text">
                <v:fill opacity="0f"/>
                <v:textbox inset="0.100694444444444in,0.0506944444444444in,0.100694444444444in,0.0506944444444444in">
                  <w:txbxContent>
                    <w:p>
                      <w:pPr>
                        <w:pStyle w:val="Normal"/>
                        <w:autoSpaceDE w:val="false"/>
                        <w:jc w:val="center"/>
                        <w:rPr>
                          <w:b/>
                          <w:bCs/>
                          <w:color w:val="000000"/>
                          <w:sz w:val="24"/>
                          <w:szCs w:val="24"/>
                        </w:rPr>
                      </w:pPr>
                      <w:r>
                        <w:rPr>
                          <w:b/>
                          <w:bCs/>
                          <w:color w:val="000000"/>
                          <w:sz w:val="24"/>
                          <w:szCs w:val="24"/>
                        </w:rPr>
                        <w:t>Enron Canada</w:t>
                      </w:r>
                    </w:p>
                    <w:p>
                      <w:pPr>
                        <w:pStyle w:val="Normal"/>
                        <w:autoSpaceDE w:val="false"/>
                        <w:jc w:val="center"/>
                        <w:rPr>
                          <w:b/>
                          <w:bCs/>
                          <w:color w:val="000000"/>
                          <w:sz w:val="24"/>
                          <w:szCs w:val="24"/>
                        </w:rPr>
                      </w:pPr>
                      <w:r>
                        <w:rPr>
                          <w:b/>
                          <w:bCs/>
                          <w:color w:val="000000"/>
                          <w:sz w:val="24"/>
                          <w:szCs w:val="24"/>
                        </w:rPr>
                        <w:t>Gas Volumes</w:t>
                      </w:r>
                    </w:p>
                    <w:p>
                      <w:pPr>
                        <w:pStyle w:val="Normal"/>
                        <w:autoSpaceDE w:val="false"/>
                        <w:jc w:val="center"/>
                        <w:rPr>
                          <w:b/>
                          <w:bCs/>
                          <w:color w:val="000000"/>
                          <w:sz w:val="24"/>
                          <w:szCs w:val="24"/>
                        </w:rPr>
                      </w:pPr>
                      <w:r>
                        <w:rPr>
                          <w:b/>
                          <w:bCs/>
                          <w:color w:val="000000"/>
                          <w:sz w:val="24"/>
                          <w:szCs w:val="24"/>
                        </w:rPr>
                        <w:t xml:space="preserve">(MMCFD) </w:t>
                      </w:r>
                    </w:p>
                  </w:txbxContent>
                </v:textbox>
                <w10:wrap type="none"/>
              </v:rect>
            </w:pict>
          </mc:Fallback>
        </mc:AlternateContent>
      </w:r>
    </w:p>
    <w:p>
      <w:pPr>
        <w:pStyle w:val="Normal"/>
        <w:ind w:start="540" w:end="0"/>
        <w:rPr>
          <w:rFonts w:cs="Arial"/>
          <w:sz w:val="20"/>
          <w:szCs w:val="18"/>
          <w:lang w:val="en-CA" w:eastAsia="en-CA"/>
        </w:rPr>
      </w:pPr>
      <w:r>
        <w:rPr>
          <w:rFonts w:cs="Arial"/>
          <w:sz w:val="20"/>
          <w:szCs w:val="18"/>
          <w:lang w:val="en-CA" w:eastAsia="en-CA"/>
        </w:rPr>
        <w:object w:dxaOrig="8960" w:dyaOrig="486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2.95pt;margin-top:7.45pt;width:436.75pt;height:238.45pt;mso-wrap-distance-left:9.05pt;mso-wrap-distance-right:9.05pt;mso-position-horizontal-relative:text;mso-position-vertical-relative:text" filled="f" o:ole="">
            <v:imagedata r:id="rId4" o:title=""/>
            <w10:wrap type="topAndBottom"/>
          </v:shape>
          <o:OLEObject Type="Embed" ProgID="Excel.Sheet.12" ShapeID="ole_rId3" DrawAspect="Content" ObjectID="_174041220" r:id="rId3"/>
        </w:object>
      </w:r>
    </w:p>
    <w:p>
      <w:pPr>
        <w:pStyle w:val="Heading3"/>
        <w:rPr/>
      </w:pPr>
      <w:r>
        <w:rPr/>
        <w:t>Successful Alliances</w:t>
      </w:r>
    </w:p>
    <w:p>
      <w:pPr>
        <w:pStyle w:val="Normal"/>
        <w:ind w:start="0" w:end="0"/>
        <w:rPr>
          <w:sz w:val="20"/>
        </w:rPr>
      </w:pPr>
      <w:r>
        <w:rPr>
          <w:sz w:val="20"/>
        </w:rPr>
        <w:t>Enron Canada has entered into a number of strategic relationships with Producers, Municipal Utilities, and industrial companies.  These companies include Petro-Canada, Suncor/Sunoco, Papier Masson Ltée, Enerconnect and Ontario Energy Financial Corporation (OEFC).</w:t>
      </w:r>
    </w:p>
    <w:p>
      <w:pPr>
        <w:pStyle w:val="Normal"/>
        <w:ind w:start="540" w:end="0"/>
        <w:rPr>
          <w:sz w:val="20"/>
        </w:rPr>
      </w:pPr>
      <w:r>
        <w:rPr>
          <w:sz w:val="20"/>
        </w:rPr>
      </w:r>
    </w:p>
    <w:p>
      <w:pPr>
        <w:pStyle w:val="Normal"/>
        <w:ind w:start="0" w:end="0"/>
        <w:rPr>
          <w:sz w:val="20"/>
        </w:rPr>
      </w:pPr>
      <w:r>
        <w:rPr>
          <w:sz w:val="20"/>
        </w:rPr>
        <w:t>On behalf of Producers, Enron Canada currently manages approximately 1 BCF/D of gas in Alberta on the NOVA and ATCO systems, 300 MMCF/D in British Columbia on the Westcoast system, and 50 MMCFD in Saskatchewan.  On behalf of our Producer and end-use clients, Enron Canada manages up to 300 MMCFD of export transport out of the western Canada producing region.  Importantly, with respect to Calpine Canada, Enron Canada has experience in working with customers who both produce and consume, such as Suncor/Sunoco and Petro-Canada.</w:t>
      </w:r>
    </w:p>
    <w:p>
      <w:pPr>
        <w:pStyle w:val="Normal"/>
        <w:ind w:start="0" w:end="0"/>
        <w:rPr>
          <w:sz w:val="20"/>
        </w:rPr>
      </w:pPr>
      <w:r>
        <w:rPr>
          <w:sz w:val="20"/>
        </w:rPr>
      </w:r>
    </w:p>
    <w:p>
      <w:pPr>
        <w:pStyle w:val="Normal"/>
        <w:ind w:start="0" w:end="0"/>
        <w:rPr>
          <w:sz w:val="20"/>
        </w:rPr>
      </w:pPr>
      <w:r>
        <w:rPr>
          <w:sz w:val="20"/>
        </w:rPr>
        <w:t xml:space="preserve">By successfully implementing different strategic relationships, Enron has demonstrated the capability to work with a variety of parties to analyze business processes and successfully redefine these as procedures and responsibilities within Enron.  Enron has the flexibility to exchange information with its alliance partners on a continual basis through an effective combination of personal interaction and electronic means.     </w:t>
      </w:r>
    </w:p>
    <w:p>
      <w:pPr>
        <w:pStyle w:val="Heading1"/>
        <w:numPr>
          <w:ilvl w:val="0"/>
          <w:numId w:val="0"/>
        </w:numPr>
        <w:ind w:hanging="0" w:start="0"/>
        <w:rPr/>
      </w:pPr>
      <w:r>
        <w:rPr/>
        <w:t>2</w:t>
        <w:tab/>
        <w:t>Objectives</w:t>
      </w:r>
    </w:p>
    <w:p>
      <w:pPr>
        <w:pStyle w:val="Normal"/>
        <w:ind w:start="540" w:end="0"/>
        <w:rPr/>
      </w:pPr>
      <w:r>
        <w:rPr/>
      </w:r>
    </w:p>
    <w:p>
      <w:pPr>
        <w:pStyle w:val="Normal"/>
        <w:ind w:start="0" w:end="0"/>
        <w:rPr>
          <w:sz w:val="20"/>
        </w:rPr>
      </w:pPr>
      <w:r>
        <w:rPr>
          <w:sz w:val="20"/>
        </w:rPr>
        <w:t>A defining element of the relationships that Enron Canada has with its alliance customers is that Enron Canada focuses on the operational and accounting daily issues allowing our customers to focus, with our support, on the more important strategic and optimization issues.  As discussed previously, we believe this would tie in well with Calpine Canada’s objectives and structure.</w:t>
      </w:r>
    </w:p>
    <w:p>
      <w:pPr>
        <w:pStyle w:val="Normal"/>
        <w:ind w:start="0" w:end="0"/>
        <w:rPr>
          <w:sz w:val="20"/>
        </w:rPr>
      </w:pPr>
      <w:r>
        <w:rPr>
          <w:sz w:val="20"/>
        </w:rPr>
      </w:r>
    </w:p>
    <w:p>
      <w:pPr>
        <w:pStyle w:val="Normal"/>
        <w:ind w:start="0" w:end="0"/>
        <w:rPr>
          <w:sz w:val="20"/>
        </w:rPr>
      </w:pPr>
      <w:r>
        <w:rPr>
          <w:sz w:val="20"/>
        </w:rPr>
        <w:t>In particular, Calpine Canada needs to focus on optimizing its pipe positions and accessing incremental assets.  It would not be appropriate for Enron Canada to drive this activity given Calpine Canada’s expertise, in particular in the Calgary office, and their integration with the generation assets, but rather Enron Canada should deal with the day to day issues on position liquidation, and can support optimization activities with ideas, analysis, recommendations and as one of Calpine Canada’s counterparties for transactions.</w:t>
      </w:r>
    </w:p>
    <w:p>
      <w:pPr>
        <w:pStyle w:val="Normal"/>
        <w:ind w:start="0" w:end="0"/>
        <w:rPr>
          <w:sz w:val="20"/>
        </w:rPr>
      </w:pPr>
      <w:r>
        <w:rPr>
          <w:sz w:val="20"/>
        </w:rPr>
      </w:r>
    </w:p>
    <w:p>
      <w:pPr>
        <w:pStyle w:val="Normal"/>
        <w:ind w:start="0" w:end="0"/>
        <w:rPr>
          <w:sz w:val="20"/>
        </w:rPr>
      </w:pPr>
      <w:r>
        <w:rPr>
          <w:sz w:val="20"/>
        </w:rPr>
        <w:t>The services offered in this proposal have the following objectives:</w:t>
      </w:r>
    </w:p>
    <w:p>
      <w:pPr>
        <w:pStyle w:val="Normal"/>
        <w:ind w:start="0" w:end="0"/>
        <w:rPr/>
      </w:pPr>
      <w:r>
        <w:rPr/>
      </w:r>
    </w:p>
    <w:p>
      <w:pPr>
        <w:pStyle w:val="Normal"/>
        <w:numPr>
          <w:ilvl w:val="0"/>
          <w:numId w:val="4"/>
        </w:numPr>
        <w:rPr>
          <w:sz w:val="20"/>
        </w:rPr>
      </w:pPr>
      <w:r>
        <w:rPr>
          <w:sz w:val="20"/>
        </w:rPr>
        <w:t xml:space="preserve">To minimize Calpine Canada’s administrative costs associated with its natural gas procurement strategy.  </w:t>
      </w:r>
    </w:p>
    <w:p>
      <w:pPr>
        <w:pStyle w:val="Normal"/>
        <w:ind w:start="360" w:end="0"/>
        <w:rPr>
          <w:sz w:val="20"/>
        </w:rPr>
      </w:pPr>
      <w:r>
        <w:rPr>
          <w:sz w:val="20"/>
        </w:rPr>
      </w:r>
    </w:p>
    <w:p>
      <w:pPr>
        <w:pStyle w:val="Normal"/>
        <w:ind w:hanging="810" w:start="990" w:end="0"/>
        <w:rPr>
          <w:sz w:val="20"/>
        </w:rPr>
      </w:pPr>
      <w:r>
        <w:rPr>
          <w:rFonts w:eastAsia="Arial"/>
          <w:sz w:val="20"/>
        </w:rPr>
        <w:t xml:space="preserve">   </w:t>
      </w:r>
      <w:r>
        <w:rPr>
          <w:sz w:val="20"/>
        </w:rPr>
        <w:t>b)</w:t>
        <w:tab/>
        <w:t>To provide the flexibility to handle changes in levels of business activity as Calpine Canada grows production through acquisition or the drill bit.</w:t>
      </w:r>
    </w:p>
    <w:p>
      <w:pPr>
        <w:pStyle w:val="Normal"/>
        <w:rPr>
          <w:sz w:val="20"/>
        </w:rPr>
      </w:pPr>
      <w:r>
        <w:rPr>
          <w:sz w:val="20"/>
        </w:rPr>
      </w:r>
    </w:p>
    <w:p>
      <w:pPr>
        <w:pStyle w:val="Normal"/>
        <w:ind w:hanging="630" w:start="990" w:end="0"/>
        <w:rPr>
          <w:sz w:val="20"/>
        </w:rPr>
      </w:pPr>
      <w:r>
        <w:rPr>
          <w:sz w:val="20"/>
        </w:rPr>
        <w:t>c)</w:t>
        <w:tab/>
        <w:t>To ensure that Calpine Canada has the right level of information on the North American energy market to make informed portfolio positioning, purchasing and transportation management decisions.</w:t>
      </w:r>
    </w:p>
    <w:p>
      <w:pPr>
        <w:pStyle w:val="Normal"/>
        <w:ind w:start="0" w:end="0"/>
        <w:rPr>
          <w:sz w:val="20"/>
        </w:rPr>
      </w:pPr>
      <w:r>
        <w:rPr>
          <w:sz w:val="20"/>
        </w:rPr>
      </w:r>
    </w:p>
    <w:p>
      <w:pPr>
        <w:pStyle w:val="Normal"/>
        <w:ind w:hanging="630" w:start="990" w:end="0"/>
        <w:rPr>
          <w:sz w:val="20"/>
        </w:rPr>
      </w:pPr>
      <w:r>
        <w:rPr>
          <w:sz w:val="20"/>
        </w:rPr>
        <w:t>d)</w:t>
        <w:tab/>
        <w:t>To assist Calpine Canada in optimizing the use of pipeline capacity and transportation and maximizing the value of Calpine Canada’s assets.</w:t>
      </w:r>
    </w:p>
    <w:p>
      <w:pPr>
        <w:pStyle w:val="Normal"/>
        <w:ind w:start="0" w:end="0"/>
        <w:rPr>
          <w:sz w:val="20"/>
        </w:rPr>
      </w:pPr>
      <w:r>
        <w:rPr>
          <w:sz w:val="20"/>
        </w:rPr>
      </w:r>
    </w:p>
    <w:p>
      <w:pPr>
        <w:pStyle w:val="Normal"/>
        <w:numPr>
          <w:ilvl w:val="0"/>
          <w:numId w:val="5"/>
        </w:numPr>
        <w:tabs>
          <w:tab w:val="clear" w:pos="720"/>
          <w:tab w:val="left" w:pos="990" w:leader="none"/>
        </w:tabs>
        <w:ind w:hanging="630" w:start="990" w:end="0"/>
        <w:rPr>
          <w:sz w:val="20"/>
        </w:rPr>
      </w:pPr>
      <w:r>
        <w:rPr>
          <w:sz w:val="20"/>
        </w:rPr>
        <w:t>To minimize the effort directed to the spot market by actively following loads and balancing as necessary.</w:t>
      </w:r>
    </w:p>
    <w:p>
      <w:pPr>
        <w:pStyle w:val="Normal"/>
        <w:ind w:start="0" w:end="0"/>
        <w:rPr>
          <w:sz w:val="20"/>
        </w:rPr>
      </w:pPr>
      <w:r>
        <w:rPr>
          <w:sz w:val="20"/>
        </w:rPr>
      </w:r>
    </w:p>
    <w:p>
      <w:pPr>
        <w:pStyle w:val="Normal"/>
        <w:numPr>
          <w:ilvl w:val="0"/>
          <w:numId w:val="5"/>
        </w:numPr>
        <w:tabs>
          <w:tab w:val="clear" w:pos="720"/>
          <w:tab w:val="left" w:pos="990" w:leader="none"/>
        </w:tabs>
        <w:ind w:hanging="630" w:start="990" w:end="0"/>
        <w:rPr>
          <w:sz w:val="20"/>
        </w:rPr>
      </w:pPr>
      <w:r>
        <w:rPr>
          <w:sz w:val="20"/>
        </w:rPr>
        <w:t>The application of risk management strategies which provide Calpine Canada with price protection against rising markets while at the same time providing opportunities to participate in downward market movements.</w:t>
      </w:r>
    </w:p>
    <w:p>
      <w:pPr>
        <w:pStyle w:val="Normal"/>
        <w:ind w:start="0" w:end="0"/>
        <w:rPr>
          <w:sz w:val="20"/>
        </w:rPr>
      </w:pPr>
      <w:r>
        <w:rPr>
          <w:sz w:val="20"/>
        </w:rPr>
      </w:r>
    </w:p>
    <w:p>
      <w:pPr>
        <w:pStyle w:val="Normal"/>
        <w:numPr>
          <w:ilvl w:val="0"/>
          <w:numId w:val="5"/>
        </w:numPr>
        <w:tabs>
          <w:tab w:val="clear" w:pos="720"/>
          <w:tab w:val="left" w:pos="990" w:leader="none"/>
        </w:tabs>
        <w:ind w:hanging="630" w:start="990" w:end="0"/>
        <w:rPr>
          <w:sz w:val="20"/>
        </w:rPr>
      </w:pPr>
      <w:r>
        <w:rPr>
          <w:sz w:val="20"/>
        </w:rPr>
        <w:t>To ensure that Calpine Canada retains its flexibility to deal with the counterparty it chooses on any given transaction.</w:t>
      </w:r>
      <w:r>
        <w:br w:type="page"/>
      </w:r>
    </w:p>
    <w:p>
      <w:pPr>
        <w:pStyle w:val="Normal"/>
        <w:ind w:start="0" w:end="0"/>
        <w:rPr>
          <w:sz w:val="20"/>
        </w:rPr>
      </w:pPr>
      <w:r>
        <w:rPr>
          <w:sz w:val="20"/>
        </w:rPr>
      </w:r>
    </w:p>
    <w:p>
      <w:pPr>
        <w:pStyle w:val="Heading1"/>
        <w:numPr>
          <w:ilvl w:val="0"/>
          <w:numId w:val="6"/>
        </w:numPr>
        <w:rPr/>
      </w:pPr>
      <w:r>
        <w:rPr/>
        <w:t>Proposal</w:t>
      </w:r>
    </w:p>
    <w:p>
      <w:pPr>
        <w:pStyle w:val="Heading3"/>
        <w:rPr/>
      </w:pPr>
      <w:r>
        <w:rPr>
          <w:u w:val="none"/>
        </w:rPr>
        <w:t>3.1</w:t>
        <w:tab/>
      </w:r>
      <w:r>
        <w:rPr/>
        <w:t>Proposal Summary – Gas Management Services</w:t>
      </w:r>
    </w:p>
    <w:p>
      <w:pPr>
        <w:pStyle w:val="Normal"/>
        <w:rPr>
          <w:sz w:val="20"/>
        </w:rPr>
      </w:pPr>
      <w:r>
        <w:rPr>
          <w:sz w:val="20"/>
        </w:rPr>
        <w:t>The following services are intended to achieve the objectives in section 2.0 of this document.  In large part these services will result in a reduction in costs of back office operations, and provide portfolio management assistance and access to better market information in order to improve the value of Calpine Canada’s energy procurement and sales strategy, while maintaining all of Calpine Canada flexibilities to make its own decisions and to transact with any third party.</w:t>
      </w:r>
    </w:p>
    <w:p>
      <w:pPr>
        <w:pStyle w:val="Normal"/>
        <w:rPr>
          <w:sz w:val="20"/>
        </w:rPr>
      </w:pPr>
      <w:r>
        <w:rPr>
          <w:sz w:val="20"/>
        </w:rPr>
      </w:r>
    </w:p>
    <w:p>
      <w:pPr>
        <w:pStyle w:val="Heading3"/>
        <w:rPr/>
      </w:pPr>
      <w:r>
        <w:rPr>
          <w:u w:val="none"/>
        </w:rPr>
        <w:t>3.1.1</w:t>
        <w:tab/>
      </w:r>
      <w:r>
        <w:rPr/>
        <w:t>Nominations</w:t>
      </w:r>
    </w:p>
    <w:p>
      <w:pPr>
        <w:pStyle w:val="Normal"/>
        <w:rPr/>
      </w:pPr>
      <w:r>
        <w:rPr>
          <w:sz w:val="20"/>
        </w:rPr>
        <w:t>Enron Canada will provide gas control functions on all upstream and downstream pipelines applicable to Calpine Canada.  This includes making nominations, or leaving standing nominations in place, for all pipeline transmission systems, hubs, market</w:t>
      </w:r>
      <w:r>
        <w:rPr>
          <w:sz w:val="20"/>
          <w:lang w:val="en-CA"/>
        </w:rPr>
        <w:t xml:space="preserve"> centres</w:t>
      </w:r>
      <w:r>
        <w:rPr>
          <w:sz w:val="20"/>
        </w:rPr>
        <w:t xml:space="preserve"> and storage facilities for delivery,</w:t>
      </w:r>
      <w:r>
        <w:rPr>
          <w:sz w:val="20"/>
          <w:lang w:val="en-CA"/>
        </w:rPr>
        <w:t xml:space="preserve"> withdrawal</w:t>
      </w:r>
      <w:r>
        <w:rPr>
          <w:sz w:val="20"/>
        </w:rPr>
        <w:t xml:space="preserve"> or injections.  Enron Canada will interface with facilities, and all receipt and delivery pipeline companies.  This will include contact with Calpine Canada’s supply coordinator for supply forecast data.  Revisions during the daily operations will also be made consistent with changes to supply, demand or transportation availability.  Gas control functions are assigned to a specific individual who has an in-depth knowledge of the operations and procedures for managing Calpine Canada’s accounts. </w:t>
      </w:r>
    </w:p>
    <w:p>
      <w:pPr>
        <w:pStyle w:val="Normal"/>
        <w:rPr>
          <w:sz w:val="20"/>
        </w:rPr>
      </w:pPr>
      <w:r>
        <w:rPr>
          <w:sz w:val="20"/>
        </w:rPr>
      </w:r>
    </w:p>
    <w:p>
      <w:pPr>
        <w:pStyle w:val="Heading3"/>
        <w:rPr/>
      </w:pPr>
      <w:r>
        <w:rPr>
          <w:u w:val="none"/>
        </w:rPr>
        <w:t xml:space="preserve">3.1.2   </w:t>
      </w:r>
      <w:r>
        <w:rPr/>
        <w:t>Balancing</w:t>
      </w:r>
    </w:p>
    <w:p>
      <w:pPr>
        <w:pStyle w:val="Normal"/>
        <w:rPr>
          <w:sz w:val="20"/>
        </w:rPr>
      </w:pPr>
      <w:r>
        <w:rPr>
          <w:sz w:val="20"/>
        </w:rPr>
        <w:t xml:space="preserve">Enron Canada will monitor and ensure that pipeline and storage nominations versus actual flows are within allowable tolerances.  If imbalances still exist, Enron Canada will purchase (or sell) gas on behalf of Calpine Canada under well-defined rules on daily index and daily fixed price to bring balances within tolerance limits.  Enron Canada will liquidate any imbalance positions at both ends of the export pipelines.   </w:t>
      </w:r>
    </w:p>
    <w:p>
      <w:pPr>
        <w:pStyle w:val="Normal"/>
        <w:rPr>
          <w:b/>
          <w:sz w:val="20"/>
        </w:rPr>
      </w:pPr>
      <w:r>
        <w:rPr>
          <w:b/>
          <w:sz w:val="20"/>
        </w:rPr>
      </w:r>
    </w:p>
    <w:p>
      <w:pPr>
        <w:pStyle w:val="Heading3"/>
        <w:rPr/>
      </w:pPr>
      <w:r>
        <w:rPr>
          <w:u w:val="none"/>
        </w:rPr>
        <w:t>3.1.3</w:t>
        <w:tab/>
      </w:r>
      <w:r>
        <w:rPr/>
        <w:t>Transportation Management</w:t>
      </w:r>
    </w:p>
    <w:p>
      <w:pPr>
        <w:pStyle w:val="Normal"/>
        <w:rPr>
          <w:sz w:val="20"/>
        </w:rPr>
      </w:pPr>
      <w:r>
        <w:rPr>
          <w:sz w:val="20"/>
        </w:rPr>
        <w:t>Enron Canada will work with Calpine Canada to minimize transport costs, mitigating unutilized firm transport.  Enron Canada will transfer and assist in assigning unutilized transport in the production regions.  Enron Canada will also use its extensive scope of operations to assist Calpine Canada in accessing low cost transportation at both the receipt and interstate/interprovincial level.</w:t>
      </w:r>
    </w:p>
    <w:p>
      <w:pPr>
        <w:pStyle w:val="Normal"/>
        <w:rPr>
          <w:sz w:val="20"/>
        </w:rPr>
      </w:pPr>
      <w:r>
        <w:rPr>
          <w:sz w:val="20"/>
        </w:rPr>
      </w:r>
    </w:p>
    <w:p>
      <w:pPr>
        <w:pStyle w:val="Heading3"/>
        <w:rPr/>
      </w:pPr>
      <w:r>
        <w:rPr>
          <w:u w:val="none"/>
        </w:rPr>
        <w:t>3.1.4</w:t>
        <w:tab/>
      </w:r>
      <w:r>
        <w:rPr/>
        <w:t>Portfolio Management</w:t>
      </w:r>
    </w:p>
    <w:p>
      <w:pPr>
        <w:pStyle w:val="Normal"/>
        <w:rPr>
          <w:sz w:val="20"/>
        </w:rPr>
      </w:pPr>
      <w:r>
        <w:rPr>
          <w:sz w:val="20"/>
        </w:rPr>
        <w:t>Optimizing Portfolio Performance -</w:t>
      </w:r>
    </w:p>
    <w:p>
      <w:pPr>
        <w:pStyle w:val="Normal"/>
        <w:rPr>
          <w:sz w:val="20"/>
        </w:rPr>
      </w:pPr>
      <w:r>
        <w:rPr>
          <w:sz w:val="20"/>
        </w:rPr>
        <w:t>Enron Canada will utilize its proprietary portfolio management systems to track Calpine Canada’s production portfolio including netback price forecasts, mark to market and counterparty credit levels.</w:t>
      </w:r>
    </w:p>
    <w:p>
      <w:pPr>
        <w:pStyle w:val="Normal"/>
        <w:rPr>
          <w:sz w:val="20"/>
        </w:rPr>
      </w:pPr>
      <w:r>
        <w:rPr>
          <w:sz w:val="20"/>
        </w:rPr>
      </w:r>
    </w:p>
    <w:p>
      <w:pPr>
        <w:pStyle w:val="Normal"/>
        <w:rPr>
          <w:sz w:val="20"/>
        </w:rPr>
      </w:pPr>
      <w:r>
        <w:rPr>
          <w:sz w:val="20"/>
        </w:rPr>
        <w:t>Enron Canada has successfully implemented a portfolio management system for its alliance partners.   The system captures each transaction in a database along with forward and actual price curves to generate forecast reports.  The system is capable of generating netback forecasts, mark to market credit exposure reports, 55 day receivables/payables reports, market exposure reports and transaction summaries.  The system is also capable of performing sensitivity and ‘what-if’ analysis for the various management reports.</w:t>
      </w:r>
    </w:p>
    <w:p>
      <w:pPr>
        <w:pStyle w:val="Normal"/>
        <w:rPr>
          <w:sz w:val="20"/>
        </w:rPr>
      </w:pPr>
      <w:r>
        <w:rPr>
          <w:sz w:val="20"/>
        </w:rPr>
      </w:r>
    </w:p>
    <w:p>
      <w:pPr>
        <w:pStyle w:val="Normal"/>
        <w:rPr>
          <w:sz w:val="20"/>
        </w:rPr>
      </w:pPr>
      <w:r>
        <w:rPr>
          <w:sz w:val="20"/>
        </w:rPr>
        <w:t xml:space="preserve">Enron Canada will use a mixture of internal and industry information in order to present information to Calpine Canada concerning alternatives for changes to its portfolio. </w:t>
      </w:r>
    </w:p>
    <w:p>
      <w:pPr>
        <w:pStyle w:val="Normal"/>
        <w:rPr>
          <w:sz w:val="20"/>
        </w:rPr>
      </w:pPr>
      <w:r>
        <w:rPr>
          <w:sz w:val="20"/>
        </w:rPr>
      </w:r>
    </w:p>
    <w:p>
      <w:pPr>
        <w:pStyle w:val="Normal"/>
        <w:rPr>
          <w:sz w:val="20"/>
        </w:rPr>
      </w:pPr>
      <w:r>
        <w:rPr>
          <w:sz w:val="20"/>
        </w:rPr>
        <w:t>Timely information and an identification of alternatives will allow Calpine Canada to benefit from Enron Canada’s systems, information, marketing and other capabilities in order to minimize risk and natural gas costs for its generating side while maximizing revenue on the sales side within defined risk tolerances.</w:t>
      </w:r>
    </w:p>
    <w:p>
      <w:pPr>
        <w:pStyle w:val="Normal"/>
        <w:rPr>
          <w:sz w:val="20"/>
        </w:rPr>
      </w:pPr>
      <w:r>
        <w:rPr>
          <w:sz w:val="20"/>
        </w:rPr>
      </w:r>
    </w:p>
    <w:p>
      <w:pPr>
        <w:pStyle w:val="Normal"/>
        <w:rPr>
          <w:sz w:val="20"/>
        </w:rPr>
      </w:pPr>
      <w:r>
        <w:rPr>
          <w:sz w:val="20"/>
        </w:rPr>
        <w:t>Communications -</w:t>
      </w:r>
    </w:p>
    <w:p>
      <w:pPr>
        <w:pStyle w:val="Normal"/>
        <w:rPr>
          <w:sz w:val="20"/>
        </w:rPr>
      </w:pPr>
      <w:r>
        <w:rPr>
          <w:sz w:val="20"/>
        </w:rPr>
        <w:t>A senior Enron Canada representative dedicated to the Calpine Canada relationship will be committed to maintaining frequent contact with Calpine Canada to discuss market intelligence and information relevant to Calpine Canada’s natural gas procurement and sales strategy.  These discussions will range between term marketing through to structured transactions or solution-based deals.  A weekly conference call with Calpine Canada’s representative will be held to review the portfolio and to keep Calpine Canada informed regarding current market changes and the short and long term supply/demand outlook relevant to both Calpine Canada’s specific situation and the larger natural gas industry.  Meetings will be held to discuss portfolio or account management issues in detail.</w:t>
      </w:r>
    </w:p>
    <w:p>
      <w:pPr>
        <w:pStyle w:val="Normal"/>
        <w:rPr>
          <w:sz w:val="20"/>
        </w:rPr>
      </w:pPr>
      <w:r>
        <w:rPr>
          <w:sz w:val="20"/>
        </w:rPr>
      </w:r>
    </w:p>
    <w:p>
      <w:pPr>
        <w:pStyle w:val="Heading3"/>
        <w:rPr/>
      </w:pPr>
      <w:r>
        <w:rPr>
          <w:u w:val="none"/>
        </w:rPr>
        <w:t>3.1.5</w:t>
        <w:tab/>
      </w:r>
      <w:r>
        <w:rPr/>
        <w:t>Gas Marketing Accounting</w:t>
      </w:r>
    </w:p>
    <w:p>
      <w:pPr>
        <w:pStyle w:val="Normal"/>
        <w:rPr>
          <w:sz w:val="20"/>
        </w:rPr>
      </w:pPr>
      <w:r>
        <w:rPr>
          <w:sz w:val="20"/>
        </w:rPr>
        <w:t>Enron Canada is able to provide the following accounting services:</w:t>
      </w:r>
    </w:p>
    <w:p>
      <w:pPr>
        <w:pStyle w:val="Normal"/>
        <w:rPr>
          <w:sz w:val="20"/>
        </w:rPr>
      </w:pPr>
      <w:r>
        <w:rPr>
          <w:sz w:val="20"/>
        </w:rPr>
      </w:r>
    </w:p>
    <w:p>
      <w:pPr>
        <w:pStyle w:val="Normal"/>
        <w:rPr>
          <w:sz w:val="20"/>
        </w:rPr>
      </w:pPr>
      <w:r>
        <w:rPr>
          <w:sz w:val="20"/>
        </w:rPr>
        <w:t>Marketing cash receipts and disbursements – Enron Canada can manage Calpine Canada’s receipts and disbursements through trust accounts and provide a forecast for each previous month by the fifth day of the month.</w:t>
      </w:r>
    </w:p>
    <w:p>
      <w:pPr>
        <w:pStyle w:val="Normal"/>
        <w:rPr>
          <w:sz w:val="20"/>
        </w:rPr>
      </w:pPr>
      <w:r>
        <w:rPr>
          <w:sz w:val="20"/>
        </w:rPr>
      </w:r>
    </w:p>
    <w:p>
      <w:pPr>
        <w:pStyle w:val="Normal"/>
        <w:rPr>
          <w:sz w:val="20"/>
        </w:rPr>
      </w:pPr>
      <w:r>
        <w:rPr>
          <w:sz w:val="20"/>
        </w:rPr>
        <w:t>Invoicing and payments – Enron Canada can prepare all invoicing for gas sales, and shall receive and verify all invoices from pipelines, storage facilities and gas sellers.</w:t>
      </w:r>
    </w:p>
    <w:p>
      <w:pPr>
        <w:pStyle w:val="Normal"/>
        <w:rPr>
          <w:sz w:val="20"/>
        </w:rPr>
      </w:pPr>
      <w:r>
        <w:rPr>
          <w:sz w:val="20"/>
        </w:rPr>
      </w:r>
    </w:p>
    <w:p>
      <w:pPr>
        <w:pStyle w:val="Normal"/>
        <w:rPr>
          <w:sz w:val="20"/>
        </w:rPr>
      </w:pPr>
      <w:r>
        <w:rPr>
          <w:sz w:val="20"/>
        </w:rPr>
        <w:t>Domestic and export regulatory compliance – Enron Canada will prepare all periodic reports to government bodies and agencies related to gas marketing, gas prices, revenues and volumes exported/imported by Calpine Canada.</w:t>
      </w:r>
    </w:p>
    <w:p>
      <w:pPr>
        <w:pStyle w:val="Normal"/>
        <w:rPr>
          <w:sz w:val="20"/>
        </w:rPr>
      </w:pPr>
      <w:r>
        <w:rPr>
          <w:sz w:val="20"/>
        </w:rPr>
      </w:r>
    </w:p>
    <w:p>
      <w:pPr>
        <w:pStyle w:val="Normal"/>
        <w:rPr>
          <w:sz w:val="20"/>
        </w:rPr>
      </w:pPr>
      <w:r>
        <w:rPr>
          <w:sz w:val="20"/>
        </w:rPr>
        <w:t>Collection – Enron Canada will notify Calpine Canada and the relevant counterparty of any payment more than two days past due and assist with requisite statements in its collection efforts.  Enron Canada does the preliminary follow-up with the counterparty and Calpine Canada follows up on past due payments thereafter.</w:t>
      </w:r>
    </w:p>
    <w:p>
      <w:pPr>
        <w:pStyle w:val="Normal"/>
        <w:rPr>
          <w:sz w:val="20"/>
        </w:rPr>
      </w:pPr>
      <w:r>
        <w:rPr>
          <w:sz w:val="20"/>
        </w:rPr>
      </w:r>
    </w:p>
    <w:p>
      <w:pPr>
        <w:pStyle w:val="Normal"/>
        <w:rPr/>
      </w:pPr>
      <w:r>
        <w:rPr>
          <w:sz w:val="20"/>
        </w:rPr>
        <w:t>Monthly Reporting – Enron Canada shall report on estimates of volumes, revenues and expenses (by 5</w:t>
      </w:r>
      <w:r>
        <w:rPr>
          <w:sz w:val="20"/>
          <w:vertAlign w:val="superscript"/>
        </w:rPr>
        <w:t>th</w:t>
      </w:r>
      <w:r>
        <w:rPr>
          <w:sz w:val="20"/>
        </w:rPr>
        <w:t xml:space="preserve"> business day) and actuals (by 25</w:t>
      </w:r>
      <w:r>
        <w:rPr>
          <w:sz w:val="20"/>
          <w:vertAlign w:val="superscript"/>
        </w:rPr>
        <w:t>th</w:t>
      </w:r>
      <w:r>
        <w:rPr>
          <w:sz w:val="20"/>
        </w:rPr>
        <w:t xml:space="preserve"> business day).  Enron Canada would provide a final accounting for the month including a summary of accounts (inputs for Calpine Canada’s income statement and balance sheet), a trial balance and statements of accounts for receivables and payables.</w:t>
      </w:r>
    </w:p>
    <w:p>
      <w:pPr>
        <w:pStyle w:val="Heading2"/>
        <w:numPr>
          <w:ilvl w:val="1"/>
          <w:numId w:val="3"/>
        </w:numPr>
        <w:rPr/>
      </w:pPr>
      <w:r>
        <w:rPr/>
        <w:t>Term of the Agreement</w:t>
      </w:r>
    </w:p>
    <w:p>
      <w:pPr>
        <w:pStyle w:val="Normal"/>
        <w:tabs>
          <w:tab w:val="left" w:pos="720" w:leader="none"/>
        </w:tabs>
        <w:ind w:start="90" w:end="0"/>
        <w:rPr/>
      </w:pPr>
      <w:r>
        <w:rPr>
          <w:i/>
          <w:iCs/>
        </w:rPr>
        <w:t>3.2.1</w:t>
      </w:r>
      <w:r>
        <w:rPr/>
        <w:tab/>
      </w:r>
      <w:r>
        <w:rPr>
          <w:i/>
          <w:sz w:val="24"/>
          <w:u w:val="single"/>
        </w:rPr>
        <w:t>Term</w:t>
      </w:r>
    </w:p>
    <w:p>
      <w:pPr>
        <w:pStyle w:val="Normal"/>
        <w:rPr>
          <w:sz w:val="20"/>
        </w:rPr>
      </w:pPr>
      <w:r>
        <w:rPr>
          <w:sz w:val="20"/>
        </w:rPr>
      </w:r>
    </w:p>
    <w:p>
      <w:pPr>
        <w:pStyle w:val="Normal"/>
        <w:rPr>
          <w:sz w:val="20"/>
        </w:rPr>
      </w:pPr>
      <w:r>
        <w:rPr>
          <w:sz w:val="20"/>
        </w:rPr>
        <w:t>A three-year term is proposed in order to create sufficient continuity in the working relationship between Calpine Canada and Enron Canada, and specifically with respect to  the individuals assigned to the relationship.</w:t>
      </w:r>
    </w:p>
    <w:p>
      <w:pPr>
        <w:pStyle w:val="Normal"/>
        <w:rPr>
          <w:sz w:val="20"/>
        </w:rPr>
      </w:pPr>
      <w:r>
        <w:rPr>
          <w:sz w:val="20"/>
        </w:rPr>
      </w:r>
    </w:p>
    <w:p>
      <w:pPr>
        <w:pStyle w:val="Normal"/>
        <w:numPr>
          <w:ilvl w:val="2"/>
          <w:numId w:val="7"/>
        </w:numPr>
        <w:tabs>
          <w:tab w:val="clear" w:pos="720"/>
          <w:tab w:val="left" w:pos="540" w:leader="none"/>
        </w:tabs>
        <w:rPr>
          <w:i/>
          <w:i/>
          <w:iCs/>
          <w:u w:val="single"/>
        </w:rPr>
      </w:pPr>
      <w:r>
        <w:rPr>
          <w:i/>
          <w:iCs/>
          <w:u w:val="single"/>
        </w:rPr>
        <w:t>Implementation</w:t>
      </w:r>
    </w:p>
    <w:p>
      <w:pPr>
        <w:pStyle w:val="Normal"/>
        <w:ind w:start="90" w:end="0"/>
        <w:rPr>
          <w:i/>
          <w:i/>
          <w:iCs/>
          <w:sz w:val="20"/>
          <w:u w:val="single"/>
        </w:rPr>
      </w:pPr>
      <w:r>
        <w:rPr>
          <w:i/>
          <w:iCs/>
          <w:sz w:val="20"/>
          <w:u w:val="single"/>
        </w:rPr>
      </w:r>
    </w:p>
    <w:p>
      <w:pPr>
        <w:pStyle w:val="Normal"/>
        <w:autoSpaceDE w:val="false"/>
        <w:spacing w:lineRule="atLeast" w:line="240"/>
        <w:rPr>
          <w:rFonts w:cs="Arial"/>
          <w:sz w:val="20"/>
          <w:szCs w:val="24"/>
        </w:rPr>
      </w:pPr>
      <w:r>
        <w:rPr>
          <w:rFonts w:cs="Arial"/>
          <w:sz w:val="20"/>
          <w:szCs w:val="24"/>
        </w:rPr>
        <w:t>Enron Canada has significant experience in implementing this type of arrangement and can be onstream with all aspects within 90 days:</w:t>
      </w:r>
    </w:p>
    <w:p>
      <w:pPr>
        <w:pStyle w:val="Normal"/>
        <w:numPr>
          <w:ilvl w:val="1"/>
          <w:numId w:val="5"/>
        </w:numPr>
        <w:autoSpaceDE w:val="false"/>
        <w:spacing w:lineRule="atLeast" w:line="240"/>
        <w:rPr>
          <w:rFonts w:cs="Arial"/>
          <w:sz w:val="20"/>
          <w:szCs w:val="24"/>
        </w:rPr>
      </w:pPr>
      <w:r>
        <w:rPr>
          <w:rFonts w:cs="Arial"/>
          <w:sz w:val="20"/>
          <w:szCs w:val="24"/>
        </w:rPr>
        <w:t>Execute LOI, and within 30 days complete Definitive Agreements</w:t>
      </w:r>
    </w:p>
    <w:p>
      <w:pPr>
        <w:pStyle w:val="Normal"/>
        <w:numPr>
          <w:ilvl w:val="1"/>
          <w:numId w:val="5"/>
        </w:numPr>
        <w:autoSpaceDE w:val="false"/>
        <w:spacing w:lineRule="atLeast" w:line="240"/>
        <w:rPr>
          <w:rFonts w:cs="Arial"/>
          <w:sz w:val="20"/>
          <w:szCs w:val="24"/>
        </w:rPr>
      </w:pPr>
      <w:r>
        <w:rPr>
          <w:rFonts w:cs="Arial"/>
          <w:sz w:val="20"/>
          <w:szCs w:val="24"/>
        </w:rPr>
        <w:t>Within 30 days, take over Alberta, BC and Saskatchewan operation</w:t>
      </w:r>
    </w:p>
    <w:p>
      <w:pPr>
        <w:pStyle w:val="Normal"/>
        <w:numPr>
          <w:ilvl w:val="1"/>
          <w:numId w:val="5"/>
        </w:numPr>
        <w:autoSpaceDE w:val="false"/>
        <w:spacing w:lineRule="atLeast" w:line="240"/>
        <w:rPr>
          <w:rFonts w:cs="Arial"/>
          <w:sz w:val="20"/>
          <w:szCs w:val="24"/>
        </w:rPr>
      </w:pPr>
      <w:r>
        <w:rPr>
          <w:rFonts w:cs="Arial"/>
          <w:sz w:val="20"/>
          <w:szCs w:val="24"/>
        </w:rPr>
        <w:t>Within 60 days, take over gas marketing accounting and initiate reporting on portfolio and accounting</w:t>
      </w:r>
    </w:p>
    <w:p>
      <w:pPr>
        <w:pStyle w:val="Normal"/>
        <w:autoSpaceDE w:val="false"/>
        <w:spacing w:lineRule="atLeast" w:line="240"/>
        <w:ind w:start="1080" w:end="0"/>
        <w:rPr>
          <w:rFonts w:cs="Arial"/>
          <w:sz w:val="20"/>
          <w:szCs w:val="24"/>
        </w:rPr>
      </w:pPr>
      <w:r>
        <w:rPr>
          <w:rFonts w:cs="Arial"/>
          <w:sz w:val="20"/>
          <w:szCs w:val="24"/>
        </w:rPr>
      </w:r>
    </w:p>
    <w:p>
      <w:pPr>
        <w:pStyle w:val="Normal"/>
        <w:ind w:start="0" w:end="0"/>
        <w:rPr>
          <w:rFonts w:cs="Arial"/>
          <w:szCs w:val="24"/>
        </w:rPr>
      </w:pPr>
      <w:r>
        <w:rPr>
          <w:rFonts w:cs="Arial"/>
          <w:szCs w:val="24"/>
        </w:rPr>
      </w:r>
    </w:p>
    <w:p>
      <w:pPr>
        <w:pStyle w:val="Heading2"/>
        <w:numPr>
          <w:ilvl w:val="1"/>
          <w:numId w:val="7"/>
        </w:numPr>
        <w:rPr/>
      </w:pPr>
      <w:r>
        <w:rPr>
          <w:bCs/>
          <w:iCs/>
        </w:rPr>
        <w:t>Fees for Services</w:t>
      </w:r>
    </w:p>
    <w:p>
      <w:pPr>
        <w:pStyle w:val="Heading3"/>
        <w:rPr/>
      </w:pPr>
      <w:r>
        <w:rPr>
          <w:u w:val="none"/>
        </w:rPr>
        <w:t>3.3.1</w:t>
        <w:tab/>
      </w:r>
      <w:r>
        <w:rPr/>
        <w:t>Base Fee</w:t>
      </w:r>
    </w:p>
    <w:p>
      <w:pPr>
        <w:pStyle w:val="Normal"/>
        <w:rPr>
          <w:sz w:val="20"/>
        </w:rPr>
      </w:pPr>
      <w:r>
        <w:rPr>
          <w:sz w:val="20"/>
        </w:rPr>
        <w:t xml:space="preserve">Enron will provide all of the services outlined in this proposal for a base fee of between CDN $0.005/GJ and CDN $0.008/GJ for the total gas load of Calpine Canada’s Canadian facilities during the term of the agreement, subject to further due diligence.  The Base Fee will be paid on a calendar year basis with payment periods to be determined depending on the start of the agreement.  </w:t>
      </w:r>
    </w:p>
    <w:p>
      <w:pPr>
        <w:pStyle w:val="Normal"/>
        <w:rPr>
          <w:sz w:val="20"/>
        </w:rPr>
      </w:pPr>
      <w:r>
        <w:rPr>
          <w:sz w:val="20"/>
        </w:rPr>
      </w:r>
    </w:p>
    <w:p>
      <w:pPr>
        <w:pStyle w:val="Heading3"/>
        <w:rPr/>
      </w:pPr>
      <w:r>
        <w:rPr>
          <w:u w:val="none"/>
        </w:rPr>
        <w:t>3.3.2</w:t>
        <w:tab/>
      </w:r>
      <w:r>
        <w:rPr/>
        <w:t>Incentive Fees</w:t>
      </w:r>
    </w:p>
    <w:p>
      <w:pPr>
        <w:pStyle w:val="Normal"/>
        <w:rPr>
          <w:sz w:val="20"/>
        </w:rPr>
      </w:pPr>
      <w:r>
        <w:rPr>
          <w:sz w:val="20"/>
        </w:rPr>
        <w:t xml:space="preserve">Enron Canada would also consider implementation of an incentive arrangement.  Incentive fees would have the benefit of very closely aligning Enron’s and Calpine Canada’s goals and objectives.  These incentive fees are usually tied to the performance of the underlying portfolio or specific assets as measured against the industry performance or competitor group.  </w:t>
      </w:r>
    </w:p>
    <w:p>
      <w:pPr>
        <w:pStyle w:val="Normal"/>
        <w:rPr>
          <w:sz w:val="20"/>
        </w:rPr>
      </w:pPr>
      <w:r>
        <w:rPr>
          <w:sz w:val="20"/>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ind w:start="0" w:end="0"/>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Normal"/>
        <w:rPr>
          <w:rFonts w:ascii="Tms Rmn;Times New Roman" w:hAnsi="Tms Rmn;Times New Roman" w:cs="Tms Rmn;Times New Roman"/>
          <w:sz w:val="16"/>
          <w:szCs w:val="24"/>
        </w:rPr>
      </w:pPr>
      <w:r>
        <w:rPr>
          <w:rFonts w:cs="Tms Rmn;Times New Roman" w:ascii="Tms Rmn;Times New Roman" w:hAnsi="Tms Rmn;Times New Roman"/>
          <w:sz w:val="16"/>
          <w:szCs w:val="24"/>
        </w:rPr>
      </w:r>
    </w:p>
    <w:p>
      <w:pPr>
        <w:pStyle w:val="Footer"/>
        <w:tabs>
          <w:tab w:val="clear" w:pos="630"/>
          <w:tab w:val="clear" w:pos="4320"/>
          <w:tab w:val="clear" w:pos="8640"/>
        </w:tabs>
        <w:spacing w:before="0" w:after="0"/>
        <w:jc w:val="start"/>
        <w:rPr>
          <w:rFonts w:cs="Arial"/>
          <w:color w:val="000000"/>
          <w:sz w:val="16"/>
          <w:szCs w:val="18"/>
        </w:rPr>
      </w:pPr>
      <w:r>
        <w:rPr>
          <w:rFonts w:cs="Arial"/>
          <w:color w:val="000000"/>
          <w:sz w:val="16"/>
          <w:szCs w:val="18"/>
        </w:rPr>
        <w:t>The matters and prices set forth herein are (a) are non-binding and indicative only, (b) may be subject to change or revision, (c) constitute an expression of mutual interests only, (d) do not constitute or create a binding agreement or any binding legal obligations, including any obligation to negotiate, and  (e) do not constitute an offer, by Enron Canada Corp. or any of its affiliates, capable of acceptance.  Any such binding agreement would only arise as a result of the negotiation, execution and delivery of written definitive agreements.  Each of parties hereby expressly waives and releases, and neither party may bring, any claim or action against any other as a result of a failure to agree on or enter into such definitive agreements.</w:t>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altName w:val="Symbol"/>
    <w:charset w:val="02"/>
    <w:family w:val="auto"/>
    <w:pitch w:val="variable"/>
  </w:font>
  <w:font w:name="Courier New">
    <w:charset w:val="00" w:characterSet="windows-1252"/>
    <w:family w:val="modern"/>
    <w:pitch w:val="default"/>
  </w:font>
  <w:font w:name="Book Antiqua">
    <w:charset w:val="00" w:characterSet="windows-1252"/>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both"/>
      <w:rPr/>
    </w:pPr>
    <w:r>
      <w:rPr/>
      <w:t>- Confidential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ab/>
    </w:r>
    <w:r>
      <w:rPr/>
      <w:drawing>
        <wp:inline distT="0" distB="0" distL="0" distR="0">
          <wp:extent cx="819150" cy="8001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44" t="-45" r="-44" b="-45"/>
                  <a:stretch>
                    <a:fillRect/>
                  </a:stretch>
                </pic:blipFill>
                <pic:spPr bwMode="auto">
                  <a:xfrm>
                    <a:off x="0" y="0"/>
                    <a:ext cx="819150" cy="800100"/>
                  </a:xfrm>
                  <a:prstGeom prst="rect">
                    <a:avLst/>
                  </a:prstGeom>
                  <a:noFill/>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630" w:leader="none"/>
      </w:tabs>
      <w:spacing w:before="0" w:after="120"/>
      <w:rPr/>
    </w:pPr>
    <w:r>
      <w:rPr>
        <w:rStyle w:val="PageNumbe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end"/>
      <w:rPr>
        <w:rFonts w:ascii="Times New Roman" w:hAnsi="Times New Roman" w:cs="Times New Roman"/>
        <w:i/>
        <w:i/>
        <w:color w:val="808080"/>
        <w:sz w:val="20"/>
      </w:rPr>
    </w:pPr>
    <w:r>
      <w:rPr>
        <w:rFonts w:cs="Times New Roman" w:ascii="Times New Roman" w:hAnsi="Times New Roman"/>
        <w:i/>
        <w:color w:val="808080"/>
        <w:sz w:val="20"/>
      </w:rPr>
      <w:t xml:space="preserve">Enron Canada proposal for Calpine Canada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3"/>
      <w:numFmt w:val="decimal"/>
      <w:lvlText w:val="%1"/>
      <w:lvlJc w:val="start"/>
      <w:pPr>
        <w:tabs>
          <w:tab w:val="num" w:pos="390"/>
        </w:tabs>
        <w:ind w:start="390" w:hanging="39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4">
    <w:lvl w:ilvl="0">
      <w:start w:val="1"/>
      <w:numFmt w:val="lowerLetter"/>
      <w:lvlText w:val="%1)"/>
      <w:lvlJc w:val="start"/>
      <w:pPr>
        <w:tabs>
          <w:tab w:val="num" w:pos="990"/>
        </w:tabs>
        <w:ind w:start="990" w:hanging="630"/>
      </w:pPr>
      <w:rPr/>
    </w:lvl>
  </w:abstractNum>
  <w:abstractNum w:abstractNumId="5">
    <w:lvl w:ilvl="0">
      <w:start w:val="5"/>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3"/>
      <w:numFmt w:val="decimal"/>
      <w:lvlText w:val="%1"/>
      <w:lvlJc w:val="start"/>
      <w:pPr>
        <w:tabs>
          <w:tab w:val="num" w:pos="630"/>
        </w:tabs>
        <w:ind w:start="630" w:hanging="630"/>
      </w:pPr>
      <w:rPr>
        <w:u w:val="none"/>
      </w:rPr>
    </w:lvl>
    <w:lvl w:ilvl="1">
      <w:start w:val="2"/>
      <w:numFmt w:val="decimal"/>
      <w:lvlText w:val="%1.%2"/>
      <w:lvlJc w:val="start"/>
      <w:pPr>
        <w:tabs>
          <w:tab w:val="num" w:pos="675"/>
        </w:tabs>
        <w:ind w:start="675" w:hanging="630"/>
      </w:pPr>
      <w:rPr>
        <w:u w:val="none"/>
      </w:rPr>
    </w:lvl>
    <w:lvl w:ilvl="2">
      <w:start w:val="2"/>
      <w:numFmt w:val="decimal"/>
      <w:lvlText w:val="%1.%2.%3"/>
      <w:lvlJc w:val="start"/>
      <w:pPr>
        <w:tabs>
          <w:tab w:val="num" w:pos="810"/>
        </w:tabs>
        <w:ind w:start="810" w:hanging="720"/>
      </w:pPr>
      <w:rPr>
        <w:u w:val="none"/>
      </w:rPr>
    </w:lvl>
    <w:lvl w:ilvl="3">
      <w:start w:val="1"/>
      <w:numFmt w:val="decimal"/>
      <w:lvlText w:val="%1.%2.%3.%4"/>
      <w:lvlJc w:val="start"/>
      <w:pPr>
        <w:tabs>
          <w:tab w:val="num" w:pos="855"/>
        </w:tabs>
        <w:ind w:start="855" w:hanging="720"/>
      </w:pPr>
      <w:rPr>
        <w:u w:val="none"/>
      </w:rPr>
    </w:lvl>
    <w:lvl w:ilvl="4">
      <w:start w:val="1"/>
      <w:numFmt w:val="decimal"/>
      <w:lvlText w:val="%1.%2.%3.%4.%5"/>
      <w:lvlJc w:val="start"/>
      <w:pPr>
        <w:tabs>
          <w:tab w:val="num" w:pos="1260"/>
        </w:tabs>
        <w:ind w:start="1260" w:hanging="1080"/>
      </w:pPr>
      <w:rPr>
        <w:u w:val="none"/>
      </w:rPr>
    </w:lvl>
    <w:lvl w:ilvl="5">
      <w:start w:val="1"/>
      <w:numFmt w:val="decimal"/>
      <w:lvlText w:val="%1.%2.%3.%4.%5.%6"/>
      <w:lvlJc w:val="start"/>
      <w:pPr>
        <w:tabs>
          <w:tab w:val="num" w:pos="1305"/>
        </w:tabs>
        <w:ind w:start="1305" w:hanging="1080"/>
      </w:pPr>
      <w:rPr>
        <w:u w:val="none"/>
      </w:rPr>
    </w:lvl>
    <w:lvl w:ilvl="6">
      <w:start w:val="1"/>
      <w:numFmt w:val="decimal"/>
      <w:lvlText w:val="%1.%2.%3.%4.%5.%6.%7"/>
      <w:lvlJc w:val="start"/>
      <w:pPr>
        <w:tabs>
          <w:tab w:val="num" w:pos="1710"/>
        </w:tabs>
        <w:ind w:start="1710" w:hanging="1440"/>
      </w:pPr>
      <w:rPr>
        <w:u w:val="none"/>
      </w:rPr>
    </w:lvl>
    <w:lvl w:ilvl="7">
      <w:start w:val="1"/>
      <w:numFmt w:val="decimal"/>
      <w:lvlText w:val="%1.%2.%3.%4.%5.%6.%7.%8"/>
      <w:lvlJc w:val="start"/>
      <w:pPr>
        <w:tabs>
          <w:tab w:val="num" w:pos="1755"/>
        </w:tabs>
        <w:ind w:start="1755" w:hanging="1440"/>
      </w:pPr>
      <w:rPr>
        <w:u w:val="none"/>
      </w:rPr>
    </w:lvl>
    <w:lvl w:ilvl="8">
      <w:start w:val="1"/>
      <w:numFmt w:val="decimal"/>
      <w:lvlText w:val="%1.%2.%3.%4.%5.%6.%7.%8.%9"/>
      <w:lvlJc w:val="start"/>
      <w:pPr>
        <w:tabs>
          <w:tab w:val="num" w:pos="2160"/>
        </w:tabs>
        <w:ind w:start="2160" w:hanging="1800"/>
      </w:pPr>
      <w:rPr>
        <w:u w:val="none"/>
      </w:rPr>
    </w:lvl>
  </w:abstractNum>
  <w:abstractNum w:abstractNumId="7">
    <w:lvl w:ilvl="0">
      <w:start w:val="3"/>
      <w:numFmt w:val="decimal"/>
      <w:lvlText w:val="%1"/>
      <w:lvlJc w:val="start"/>
      <w:pPr>
        <w:tabs>
          <w:tab w:val="num" w:pos="630"/>
        </w:tabs>
        <w:ind w:start="630" w:hanging="630"/>
      </w:pPr>
      <w:rPr>
        <w:u w:val="none"/>
      </w:rPr>
    </w:lvl>
    <w:lvl w:ilvl="1">
      <w:start w:val="2"/>
      <w:numFmt w:val="decimal"/>
      <w:lvlText w:val="%1.%2"/>
      <w:lvlJc w:val="start"/>
      <w:pPr>
        <w:tabs>
          <w:tab w:val="num" w:pos="675"/>
        </w:tabs>
        <w:ind w:start="675" w:hanging="630"/>
      </w:pPr>
      <w:rPr>
        <w:u w:val="none"/>
      </w:rPr>
    </w:lvl>
    <w:lvl w:ilvl="2">
      <w:start w:val="2"/>
      <w:numFmt w:val="decimal"/>
      <w:lvlText w:val="%1.%2.%3"/>
      <w:lvlJc w:val="start"/>
      <w:pPr>
        <w:tabs>
          <w:tab w:val="num" w:pos="810"/>
        </w:tabs>
        <w:ind w:start="810" w:hanging="720"/>
      </w:pPr>
      <w:rPr>
        <w:u w:val="none"/>
      </w:rPr>
    </w:lvl>
    <w:lvl w:ilvl="3">
      <w:start w:val="1"/>
      <w:numFmt w:val="decimal"/>
      <w:lvlText w:val="%1.%2.%3.%4"/>
      <w:lvlJc w:val="start"/>
      <w:pPr>
        <w:tabs>
          <w:tab w:val="num" w:pos="855"/>
        </w:tabs>
        <w:ind w:start="855" w:hanging="720"/>
      </w:pPr>
      <w:rPr>
        <w:u w:val="none"/>
      </w:rPr>
    </w:lvl>
    <w:lvl w:ilvl="4">
      <w:start w:val="1"/>
      <w:numFmt w:val="decimal"/>
      <w:lvlText w:val="%1.%2.%3.%4.%5"/>
      <w:lvlJc w:val="start"/>
      <w:pPr>
        <w:tabs>
          <w:tab w:val="num" w:pos="1260"/>
        </w:tabs>
        <w:ind w:start="1260" w:hanging="1080"/>
      </w:pPr>
      <w:rPr>
        <w:u w:val="none"/>
      </w:rPr>
    </w:lvl>
    <w:lvl w:ilvl="5">
      <w:start w:val="1"/>
      <w:numFmt w:val="decimal"/>
      <w:lvlText w:val="%1.%2.%3.%4.%5.%6"/>
      <w:lvlJc w:val="start"/>
      <w:pPr>
        <w:tabs>
          <w:tab w:val="num" w:pos="1305"/>
        </w:tabs>
        <w:ind w:start="1305" w:hanging="1080"/>
      </w:pPr>
      <w:rPr>
        <w:u w:val="none"/>
      </w:rPr>
    </w:lvl>
    <w:lvl w:ilvl="6">
      <w:start w:val="1"/>
      <w:numFmt w:val="decimal"/>
      <w:lvlText w:val="%1.%2.%3.%4.%5.%6.%7"/>
      <w:lvlJc w:val="start"/>
      <w:pPr>
        <w:tabs>
          <w:tab w:val="num" w:pos="1710"/>
        </w:tabs>
        <w:ind w:start="1710" w:hanging="1440"/>
      </w:pPr>
      <w:rPr>
        <w:u w:val="none"/>
      </w:rPr>
    </w:lvl>
    <w:lvl w:ilvl="7">
      <w:start w:val="1"/>
      <w:numFmt w:val="decimal"/>
      <w:lvlText w:val="%1.%2.%3.%4.%5.%6.%7.%8"/>
      <w:lvlJc w:val="start"/>
      <w:pPr>
        <w:tabs>
          <w:tab w:val="num" w:pos="1755"/>
        </w:tabs>
        <w:ind w:start="1755" w:hanging="1440"/>
      </w:pPr>
      <w:rPr>
        <w:u w:val="none"/>
      </w:rPr>
    </w:lvl>
    <w:lvl w:ilvl="8">
      <w:start w:val="1"/>
      <w:numFmt w:val="decimal"/>
      <w:lvlText w:val="%1.%2.%3.%4.%5.%6.%7.%8.%9"/>
      <w:lvlJc w:val="start"/>
      <w:pPr>
        <w:tabs>
          <w:tab w:val="num" w:pos="2160"/>
        </w:tabs>
        <w:ind w:start="2160" w:hanging="1800"/>
      </w:pPr>
      <w:rPr>
        <w:u w:val="none"/>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900"/>
        </w:tabs>
        <w:ind w:start="900" w:hanging="5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432" w:end="0"/>
    </w:pPr>
    <w:rPr>
      <w:rFonts w:ascii="Arial" w:hAnsi="Arial" w:eastAsia="Times New Roman" w:cs="Arial"/>
      <w:color w:val="auto"/>
      <w:sz w:val="22"/>
      <w:szCs w:val="20"/>
      <w:lang w:val="en-US" w:bidi="ar-SA" w:eastAsia="zh-CN"/>
    </w:rPr>
  </w:style>
  <w:style w:type="paragraph" w:styleId="Heading1">
    <w:name w:val="heading 1"/>
    <w:basedOn w:val="ListNumber2"/>
    <w:next w:val="Normal"/>
    <w:qFormat/>
    <w:pPr>
      <w:keepNext w:val="true"/>
      <w:numPr>
        <w:ilvl w:val="0"/>
        <w:numId w:val="1"/>
      </w:numPr>
      <w:pBdr>
        <w:top w:val="single" w:sz="4" w:space="1" w:color="000000"/>
        <w:left w:val="single" w:sz="4" w:space="4" w:color="000000"/>
        <w:bottom w:val="single" w:sz="4" w:space="1" w:color="000000"/>
        <w:right w:val="single" w:sz="4" w:space="4" w:color="000000"/>
      </w:pBdr>
      <w:shd w:fill="D8D8D8" w:val="clear"/>
      <w:tabs>
        <w:tab w:val="clear" w:pos="630"/>
        <w:tab w:val="left" w:pos="-90" w:leader="none"/>
      </w:tabs>
      <w:spacing w:before="360" w:after="160"/>
      <w:jc w:val="start"/>
      <w:outlineLvl w:val="0"/>
    </w:pPr>
    <w:rPr>
      <w:b/>
      <w:shadow/>
      <w:color w:val="000080"/>
      <w:sz w:val="36"/>
    </w:rPr>
  </w:style>
  <w:style w:type="paragraph" w:styleId="Heading2">
    <w:name w:val="heading 2"/>
    <w:basedOn w:val="Normal"/>
    <w:next w:val="Normal"/>
    <w:qFormat/>
    <w:pPr>
      <w:keepNext w:val="true"/>
      <w:numPr>
        <w:ilvl w:val="1"/>
        <w:numId w:val="1"/>
      </w:numPr>
      <w:tabs>
        <w:tab w:val="clear" w:pos="720"/>
        <w:tab w:val="left" w:pos="630" w:leader="none"/>
        <w:tab w:val="left" w:pos="3600" w:leader="none"/>
      </w:tabs>
      <w:spacing w:before="240" w:after="160"/>
      <w:outlineLvl w:val="1"/>
    </w:pPr>
    <w:rPr>
      <w:b/>
      <w:i/>
      <w:color w:val="000000"/>
      <w:sz w:val="28"/>
    </w:rPr>
  </w:style>
  <w:style w:type="paragraph" w:styleId="Heading3">
    <w:name w:val="heading 3"/>
    <w:basedOn w:val="Normal"/>
    <w:next w:val="Normal"/>
    <w:qFormat/>
    <w:pPr>
      <w:keepNext w:val="true"/>
      <w:tabs>
        <w:tab w:val="left" w:pos="720" w:leader="none"/>
        <w:tab w:val="left" w:pos="1980" w:leader="none"/>
      </w:tabs>
      <w:spacing w:before="160" w:after="160"/>
      <w:ind w:hanging="0" w:start="0" w:end="0"/>
      <w:outlineLvl w:val="2"/>
    </w:pPr>
    <w:rPr>
      <w:i/>
      <w:sz w:val="24"/>
      <w:u w:val="single"/>
    </w:rPr>
  </w:style>
  <w:style w:type="paragraph" w:styleId="Heading4">
    <w:name w:val="heading 4"/>
    <w:basedOn w:val="Normal"/>
    <w:next w:val="Normal"/>
    <w:qFormat/>
    <w:pPr>
      <w:keepNext w:val="true"/>
      <w:numPr>
        <w:ilvl w:val="3"/>
        <w:numId w:val="1"/>
      </w:numPr>
      <w:tabs>
        <w:tab w:val="clear" w:pos="720"/>
        <w:tab w:val="left" w:pos="630" w:leader="none"/>
      </w:tabs>
      <w:spacing w:before="160" w:after="160"/>
      <w:jc w:val="both"/>
      <w:outlineLvl w:val="3"/>
    </w:pPr>
    <w:rPr>
      <w:i/>
      <w:sz w:val="24"/>
    </w:rPr>
  </w:style>
  <w:style w:type="paragraph" w:styleId="Heading5">
    <w:name w:val="heading 5"/>
    <w:basedOn w:val="Heading4"/>
    <w:next w:val="Normal"/>
    <w:qFormat/>
    <w:pPr>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630" w:leader="none"/>
      </w:tabs>
      <w:spacing w:before="0" w:after="120"/>
      <w:jc w:val="both"/>
      <w:outlineLvl w:val="5"/>
    </w:pPr>
    <w:rPr>
      <w:b/>
      <w:sz w:val="24"/>
    </w:rPr>
  </w:style>
  <w:style w:type="paragraph" w:styleId="Heading7">
    <w:name w:val="heading 7"/>
    <w:basedOn w:val="Normal"/>
    <w:next w:val="Normal"/>
    <w:qFormat/>
    <w:pPr>
      <w:keepNext w:val="true"/>
      <w:numPr>
        <w:ilvl w:val="6"/>
        <w:numId w:val="1"/>
      </w:numPr>
      <w:tabs>
        <w:tab w:val="clear" w:pos="720"/>
        <w:tab w:val="left" w:pos="630" w:leader="none"/>
      </w:tabs>
      <w:spacing w:before="0" w:after="120"/>
      <w:jc w:val="both"/>
      <w:outlineLvl w:val="6"/>
    </w:pPr>
    <w:rPr>
      <w:b/>
      <w:caps/>
      <w:sz w:val="32"/>
    </w:rPr>
  </w:style>
  <w:style w:type="paragraph" w:styleId="Heading8">
    <w:name w:val="heading 8"/>
    <w:basedOn w:val="Normal"/>
    <w:next w:val="Normal"/>
    <w:qFormat/>
    <w:pPr>
      <w:keepNext w:val="true"/>
      <w:numPr>
        <w:ilvl w:val="7"/>
        <w:numId w:val="1"/>
      </w:numPr>
      <w:tabs>
        <w:tab w:val="clear" w:pos="720"/>
        <w:tab w:val="left" w:pos="630" w:leader="none"/>
      </w:tabs>
      <w:spacing w:before="0" w:after="120"/>
      <w:jc w:val="both"/>
      <w:outlineLvl w:val="7"/>
    </w:pPr>
    <w:rPr>
      <w:b/>
      <w:i/>
      <w:sz w:val="24"/>
    </w:rPr>
  </w:style>
  <w:style w:type="paragraph" w:styleId="Heading9">
    <w:name w:val="heading 9"/>
    <w:basedOn w:val="Normal"/>
    <w:next w:val="Normal"/>
    <w:qFormat/>
    <w:pPr>
      <w:keepNext w:val="true"/>
      <w:numPr>
        <w:ilvl w:val="8"/>
        <w:numId w:val="1"/>
      </w:numPr>
      <w:tabs>
        <w:tab w:val="clear" w:pos="720"/>
        <w:tab w:val="left" w:pos="630" w:leader="none"/>
      </w:tabs>
      <w:spacing w:before="0" w:after="120"/>
      <w:jc w:val="both"/>
      <w:outlineLvl w:val="8"/>
    </w:pPr>
    <w:rPr>
      <w:sz w:val="24"/>
      <w:u w:val="single"/>
    </w:rPr>
  </w:style>
  <w:style w:type="character" w:styleId="WW8Num3z0">
    <w:name w:val="WW8Num3z0"/>
    <w:qFormat/>
    <w:rPr/>
  </w:style>
  <w:style w:type="character" w:styleId="WW8Num4z0">
    <w:name w:val="WW8Num4z0"/>
    <w:qFormat/>
    <w:rPr>
      <w:rFonts w:ascii="Symbol" w:hAnsi="Symbol" w:cs="Symbol"/>
    </w:rPr>
  </w:style>
  <w:style w:type="character" w:styleId="WW8Num5z1">
    <w:name w:val="WW8Num5z1"/>
    <w:qFormat/>
    <w:rPr>
      <w:rFonts w:ascii="Wingdings" w:hAnsi="Wingdings" w:cs="Wingdings"/>
      <w:color w:val="auto"/>
    </w:rPr>
  </w:style>
  <w:style w:type="character" w:styleId="WW8Num7z0">
    <w:name w:val="WW8Num7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Monotype Sorts;Symbol" w:hAnsi="Monotype Sorts;Symbol" w:cs="Book Antiqua"/>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1z0">
    <w:name w:val="WW8Num21z0"/>
    <w:qFormat/>
    <w:rPr/>
  </w:style>
  <w:style w:type="character" w:styleId="WW8Num23z0">
    <w:name w:val="WW8Num23z0"/>
    <w:qFormat/>
    <w:rPr/>
  </w:style>
  <w:style w:type="character" w:styleId="WW8Num27z0">
    <w:name w:val="WW8Num27z0"/>
    <w:qFormat/>
    <w:rPr>
      <w:rFonts w:ascii="Monotype Sorts;Symbol" w:hAnsi="Monotype Sorts;Symbol" w:cs="Book Antiqua"/>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6z0">
    <w:name w:val="WW8Num46z0"/>
    <w:qFormat/>
    <w:rPr>
      <w:rFonts w:ascii="Symbol" w:hAnsi="Symbol" w:cs="Symbol"/>
    </w:rPr>
  </w:style>
  <w:style w:type="character" w:styleId="WW8Num47z0">
    <w:name w:val="WW8Num47z0"/>
    <w:qFormat/>
    <w:rPr/>
  </w:style>
  <w:style w:type="character" w:styleId="WW8Num49z0">
    <w:name w:val="WW8Num49z0"/>
    <w:qFormat/>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4z0">
    <w:name w:val="WW8Num54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Symbol" w:hAnsi="Symbol" w:cs="Symbol"/>
      <w:color w:val="auto"/>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7z0">
    <w:name w:val="WW8Num77z0"/>
    <w:qFormat/>
    <w:rPr>
      <w:rFonts w:ascii="Wingdings" w:hAnsi="Wingdings" w:cs="Wingdings"/>
    </w:rPr>
  </w:style>
  <w:style w:type="character" w:styleId="WW8Num80z0">
    <w:name w:val="WW8Num80z0"/>
    <w:qFormat/>
    <w:rPr/>
  </w:style>
  <w:style w:type="character" w:styleId="WW8Num82z0">
    <w:name w:val="WW8Num82z0"/>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rFonts w:ascii="Wingdings" w:hAnsi="Wingdings" w:cs="Wingdings"/>
    </w:rPr>
  </w:style>
  <w:style w:type="character" w:styleId="WW8Num98z0">
    <w:name w:val="WW8Num98z0"/>
    <w:qFormat/>
    <w:rPr/>
  </w:style>
  <w:style w:type="character" w:styleId="WW8Num99z1">
    <w:name w:val="WW8Num99z1"/>
    <w:qFormat/>
    <w:rPr>
      <w:rFonts w:ascii="Wingdings" w:hAnsi="Wingdings" w:cs="Wingdings"/>
      <w:color w:val="auto"/>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3z0">
    <w:name w:val="WW8Num103z0"/>
    <w:qFormat/>
    <w:rPr/>
  </w:style>
  <w:style w:type="character" w:styleId="WW8Num104z0">
    <w:name w:val="WW8Num104z0"/>
    <w:qFormat/>
    <w:rPr>
      <w:rFonts w:ascii="Wingdings" w:hAnsi="Wingdings" w:cs="Wingdings"/>
    </w:rPr>
  </w:style>
  <w:style w:type="character" w:styleId="WW8Num105z1">
    <w:name w:val="WW8Num105z1"/>
    <w:qFormat/>
    <w:rPr>
      <w:rFonts w:ascii="Wingdings" w:hAnsi="Wingdings" w:cs="Wingdings"/>
      <w:color w:val="auto"/>
    </w:rPr>
  </w:style>
  <w:style w:type="character" w:styleId="WW8Num106z0">
    <w:name w:val="WW8Num106z0"/>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rFonts w:ascii="Wingdings" w:hAnsi="Wingdings" w:cs="Wingdings"/>
    </w:rPr>
  </w:style>
  <w:style w:type="character" w:styleId="WW8Num113z0">
    <w:name w:val="WW8Num113z0"/>
    <w:qFormat/>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7z1">
    <w:name w:val="WW8Num117z1"/>
    <w:qFormat/>
    <w:rPr>
      <w:rFonts w:ascii="Wingdings" w:hAnsi="Wingdings" w:cs="Wingdings"/>
      <w:color w:val="auto"/>
    </w:rPr>
  </w:style>
  <w:style w:type="character" w:styleId="WW8Num118z0">
    <w:name w:val="WW8Num118z0"/>
    <w:qFormat/>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8z4">
    <w:name w:val="WW8Num118z4"/>
    <w:qFormat/>
    <w:rPr>
      <w:rFonts w:ascii="Courier New" w:hAnsi="Courier New" w:cs="Courier New"/>
    </w:rPr>
  </w:style>
  <w:style w:type="character" w:styleId="WW8Num119z0">
    <w:name w:val="WW8Num119z0"/>
    <w:qFormat/>
    <w:rPr>
      <w:rFonts w:ascii="Wingdings" w:hAnsi="Wingdings" w:cs="Wingdings"/>
    </w:rPr>
  </w:style>
  <w:style w:type="character" w:styleId="WW8Num120z0">
    <w:name w:val="WW8Num120z0"/>
    <w:qFormat/>
    <w:rPr>
      <w:rFonts w:ascii="Wingdings" w:hAnsi="Wingdings" w:cs="Wingdings"/>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rPr>
  </w:style>
  <w:style w:type="character" w:styleId="WW8Num123z0">
    <w:name w:val="WW8Num123z0"/>
    <w:qFormat/>
    <w:rPr>
      <w:rFonts w:ascii="Wingdings" w:hAnsi="Wingdings" w:cs="Wingdings"/>
    </w:rPr>
  </w:style>
  <w:style w:type="character" w:styleId="WW8Num124z0">
    <w:name w:val="WW8Num124z0"/>
    <w:qFormat/>
    <w:rPr/>
  </w:style>
  <w:style w:type="character" w:styleId="WW8Num125z0">
    <w:name w:val="WW8Num125z0"/>
    <w:qFormat/>
    <w:rPr>
      <w:rFonts w:ascii="Wingdings" w:hAnsi="Wingdings" w:cs="Wingdings"/>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rFonts w:ascii="Wingdings" w:hAnsi="Wingdings" w:cs="Wingdings"/>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Wingdings" w:hAnsi="Wingdings" w:cs="Wingdings"/>
    </w:rPr>
  </w:style>
  <w:style w:type="character" w:styleId="WW8Num136z0">
    <w:name w:val="WW8Num136z0"/>
    <w:qFormat/>
    <w:rPr>
      <w:rFonts w:ascii="Wingdings" w:hAnsi="Wingdings" w:cs="Wingdings"/>
    </w:rPr>
  </w:style>
  <w:style w:type="character" w:styleId="WW8Num137z0">
    <w:name w:val="WW8Num137z0"/>
    <w:qFormat/>
    <w:rPr>
      <w:rFonts w:ascii="Symbol" w:hAnsi="Symbol" w:cs="Symbol"/>
      <w:color w:val="auto"/>
    </w:rPr>
  </w:style>
  <w:style w:type="character" w:styleId="WW8Num138z0">
    <w:name w:val="WW8Num138z0"/>
    <w:qFormat/>
    <w:rPr>
      <w:rFonts w:ascii="Monotype Sorts;Symbol" w:hAnsi="Monotype Sorts;Symbol" w:cs="Book Antiqua"/>
    </w:rPr>
  </w:style>
  <w:style w:type="character" w:styleId="WW8Num139z0">
    <w:name w:val="WW8Num139z0"/>
    <w:qFormat/>
    <w:rPr>
      <w:rFonts w:ascii="Wingdings" w:hAnsi="Wingdings" w:cs="Wingdings"/>
    </w:rPr>
  </w:style>
  <w:style w:type="character" w:styleId="WW8Num140z0">
    <w:name w:val="WW8Num140z0"/>
    <w:qFormat/>
    <w:rPr>
      <w:rFonts w:ascii="Wingdings" w:hAnsi="Wingdings" w:cs="Wingdings"/>
    </w:rPr>
  </w:style>
  <w:style w:type="character" w:styleId="WW8Num141z0">
    <w:name w:val="WW8Num141z0"/>
    <w:qFormat/>
    <w:rPr>
      <w:rFonts w:ascii="Wingdings" w:hAnsi="Wingdings" w:cs="Wingdings"/>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color w:val="auto"/>
    </w:rPr>
  </w:style>
  <w:style w:type="character" w:styleId="WW8Num146z0">
    <w:name w:val="WW8Num146z0"/>
    <w:qFormat/>
    <w:rPr>
      <w:rFonts w:ascii="Wingdings" w:hAnsi="Wingdings" w:cs="Wingdings"/>
    </w:rPr>
  </w:style>
  <w:style w:type="character" w:styleId="WW8Num147z1">
    <w:name w:val="WW8Num147z1"/>
    <w:qFormat/>
    <w:rPr>
      <w:rFonts w:ascii="Wingdings" w:hAnsi="Wingdings" w:cs="Wingdings"/>
      <w:color w:val="auto"/>
    </w:rPr>
  </w:style>
  <w:style w:type="character" w:styleId="WW8Num148z0">
    <w:name w:val="WW8Num148z0"/>
    <w:qFormat/>
    <w:rPr>
      <w:rFonts w:ascii="Wingdings" w:hAnsi="Wingdings" w:cs="Wingdings"/>
    </w:rPr>
  </w:style>
  <w:style w:type="character" w:styleId="WW8Num149z0">
    <w:name w:val="WW8Num149z0"/>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Wingdings" w:hAnsi="Wingdings" w:cs="Wingdings"/>
    </w:rPr>
  </w:style>
  <w:style w:type="character" w:styleId="WW8Num159z0">
    <w:name w:val="WW8Num159z0"/>
    <w:qFormat/>
    <w:rPr>
      <w:rFonts w:ascii="Wingdings" w:hAnsi="Wingdings" w:cs="Wingdings"/>
    </w:rPr>
  </w:style>
  <w:style w:type="character" w:styleId="WW8Num161z0">
    <w:name w:val="WW8Num161z0"/>
    <w:qFormat/>
    <w:rPr>
      <w:rFonts w:ascii="Wingdings" w:hAnsi="Wingdings" w:cs="Wingdings"/>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Wingdings" w:hAnsi="Wingdings" w:cs="Wingdings"/>
    </w:rPr>
  </w:style>
  <w:style w:type="character" w:styleId="WW8Num167z0">
    <w:name w:val="WW8Num167z0"/>
    <w:qFormat/>
    <w:rPr>
      <w:rFonts w:ascii="Monotype Sorts;Symbol" w:hAnsi="Monotype Sorts;Symbol" w:cs="Book Antiqua"/>
    </w:rPr>
  </w:style>
  <w:style w:type="character" w:styleId="WW8Num168z0">
    <w:name w:val="WW8Num168z0"/>
    <w:qFormat/>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Wingdings" w:hAnsi="Wingdings" w:cs="Wingdings"/>
    </w:rPr>
  </w:style>
  <w:style w:type="character" w:styleId="WW8Num174z1">
    <w:name w:val="WW8Num174z1"/>
    <w:qFormat/>
    <w:rPr>
      <w:rFonts w:ascii="Wingdings" w:hAnsi="Wingdings" w:cs="Wingdings"/>
      <w:color w:val="auto"/>
    </w:rPr>
  </w:style>
  <w:style w:type="character" w:styleId="WW8Num177z0">
    <w:name w:val="WW8Num177z0"/>
    <w:qFormat/>
    <w:rPr>
      <w:rFonts w:ascii="Symbol" w:hAnsi="Symbol" w:cs="Symbol"/>
      <w:color w:val="auto"/>
    </w:rPr>
  </w:style>
  <w:style w:type="character" w:styleId="WW8Num178z0">
    <w:name w:val="WW8Num178z0"/>
    <w:qFormat/>
    <w:rPr/>
  </w:style>
  <w:style w:type="character" w:styleId="WW8Num179z0">
    <w:name w:val="WW8Num179z0"/>
    <w:qFormat/>
    <w:rPr>
      <w:rFonts w:ascii="Times New Roman" w:hAnsi="Times New Roman" w:cs="Times New Roman"/>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color w:val="auto"/>
    </w:rPr>
  </w:style>
  <w:style w:type="character" w:styleId="WW8Num185z0">
    <w:name w:val="WW8Num185z0"/>
    <w:qFormat/>
    <w:rPr>
      <w:rFonts w:ascii="Wingdings" w:hAnsi="Wingdings" w:cs="Wingdings"/>
    </w:rPr>
  </w:style>
  <w:style w:type="character" w:styleId="WW8Num186z0">
    <w:name w:val="WW8Num186z0"/>
    <w:qFormat/>
    <w:rPr>
      <w:rFonts w:ascii="Wingdings" w:hAnsi="Wingdings" w:cs="Wingdings"/>
    </w:rPr>
  </w:style>
  <w:style w:type="character" w:styleId="WW8Num187z0">
    <w:name w:val="WW8Num187z0"/>
    <w:qFormat/>
    <w:rPr/>
  </w:style>
  <w:style w:type="character" w:styleId="WW8Num190z0">
    <w:name w:val="WW8Num190z0"/>
    <w:qFormat/>
    <w:rPr>
      <w:rFonts w:ascii="Wingdings" w:hAnsi="Wingdings" w:cs="Wingdings"/>
    </w:rPr>
  </w:style>
  <w:style w:type="character" w:styleId="WW8Num191z1">
    <w:name w:val="WW8Num191z1"/>
    <w:qFormat/>
    <w:rPr>
      <w:rFonts w:ascii="Wingdings" w:hAnsi="Wingdings" w:cs="Wingdings"/>
      <w:color w:val="auto"/>
    </w:rPr>
  </w:style>
  <w:style w:type="character" w:styleId="WW8Num192z0">
    <w:name w:val="WW8Num192z0"/>
    <w:qFormat/>
    <w:rPr>
      <w:rFonts w:ascii="Wingdings" w:hAnsi="Wingdings" w:cs="Wingdings"/>
    </w:rPr>
  </w:style>
  <w:style w:type="character" w:styleId="WW8Num194z0">
    <w:name w:val="WW8Num194z0"/>
    <w:qFormat/>
    <w:rPr>
      <w:rFonts w:ascii="Wingdings" w:hAnsi="Wingdings" w:cs="Wingdings"/>
      <w:sz w:val="20"/>
    </w:rPr>
  </w:style>
  <w:style w:type="character" w:styleId="WW8Num195z0">
    <w:name w:val="WW8Num195z0"/>
    <w:qFormat/>
    <w:rPr>
      <w:rFonts w:ascii="Wingdings" w:hAnsi="Wingdings" w:cs="Wingdings"/>
    </w:rPr>
  </w:style>
  <w:style w:type="character" w:styleId="WW8Num196z0">
    <w:name w:val="WW8Num196z0"/>
    <w:qFormat/>
    <w:rPr>
      <w:rFonts w:ascii="Wingdings" w:hAnsi="Wingdings" w:cs="Wingdings"/>
    </w:rPr>
  </w:style>
  <w:style w:type="character" w:styleId="WW8Num197z0">
    <w:name w:val="WW8Num197z0"/>
    <w:qFormat/>
    <w:rPr>
      <w:b w:val="false"/>
      <w:sz w:val="24"/>
      <w:u w:val="none"/>
    </w:rPr>
  </w:style>
  <w:style w:type="character" w:styleId="WW8Num198z0">
    <w:name w:val="WW8Num198z0"/>
    <w:qFormat/>
    <w:rPr>
      <w:rFonts w:ascii="Wingdings" w:hAnsi="Wingdings" w:cs="Wingdings"/>
    </w:rPr>
  </w:style>
  <w:style w:type="character" w:styleId="WW8Num199z0">
    <w:name w:val="WW8Num199z0"/>
    <w:qFormat/>
    <w:rPr>
      <w:rFonts w:ascii="Wingdings" w:hAnsi="Wingdings" w:cs="Wingdings"/>
    </w:rPr>
  </w:style>
  <w:style w:type="character" w:styleId="WW8Num200z0">
    <w:name w:val="WW8Num200z0"/>
    <w:qFormat/>
    <w:rPr>
      <w:rFonts w:ascii="Wingdings" w:hAnsi="Wingdings" w:cs="Wingdings"/>
    </w:rPr>
  </w:style>
  <w:style w:type="character" w:styleId="WW8Num201z0">
    <w:name w:val="WW8Num201z0"/>
    <w:qFormat/>
    <w:rPr/>
  </w:style>
  <w:style w:type="character" w:styleId="WW8Num203z0">
    <w:name w:val="WW8Num203z0"/>
    <w:qFormat/>
    <w:rPr/>
  </w:style>
  <w:style w:type="character" w:styleId="WW8Num204z0">
    <w:name w:val="WW8Num204z0"/>
    <w:qFormat/>
    <w:rPr>
      <w:rFonts w:ascii="Wingdings" w:hAnsi="Wingdings" w:cs="Wingdings"/>
    </w:rPr>
  </w:style>
  <w:style w:type="character" w:styleId="WW8Num205z0">
    <w:name w:val="WW8Num205z0"/>
    <w:qFormat/>
    <w:rPr>
      <w:rFonts w:ascii="Wingdings" w:hAnsi="Wingdings" w:cs="Wingdings"/>
    </w:rPr>
  </w:style>
  <w:style w:type="character" w:styleId="WW8Num206z0">
    <w:name w:val="WW8Num206z0"/>
    <w:qFormat/>
    <w:rPr>
      <w:rFonts w:ascii="Symbol" w:hAnsi="Symbol" w:cs="Symbol"/>
    </w:rPr>
  </w:style>
  <w:style w:type="character" w:styleId="WW8Num208z0">
    <w:name w:val="WW8Num208z0"/>
    <w:qFormat/>
    <w:rPr/>
  </w:style>
  <w:style w:type="character" w:styleId="WW8Num209z0">
    <w:name w:val="WW8Num209z0"/>
    <w:qFormat/>
    <w:rPr>
      <w:rFonts w:ascii="Wingdings" w:hAnsi="Wingdings" w:cs="Wingdings"/>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3z0">
    <w:name w:val="WW8Num213z0"/>
    <w:qFormat/>
    <w:rPr>
      <w:rFonts w:ascii="Wingdings" w:hAnsi="Wingdings" w:cs="Wingdings"/>
    </w:rPr>
  </w:style>
  <w:style w:type="character" w:styleId="WW8Num214z0">
    <w:name w:val="WW8Num214z0"/>
    <w:qFormat/>
    <w:rPr>
      <w:rFonts w:ascii="Wingdings" w:hAnsi="Wingdings" w:cs="Wingdings"/>
    </w:rPr>
  </w:style>
  <w:style w:type="character" w:styleId="WW8Num215z0">
    <w:name w:val="WW8Num215z0"/>
    <w:qFormat/>
    <w:rPr>
      <w:rFonts w:ascii="Symbol" w:hAnsi="Symbol" w:cs="Symbol"/>
      <w:color w:val="auto"/>
    </w:rPr>
  </w:style>
  <w:style w:type="character" w:styleId="WW8Num216z1">
    <w:name w:val="WW8Num216z1"/>
    <w:qFormat/>
    <w:rPr>
      <w:rFonts w:ascii="Wingdings" w:hAnsi="Wingdings" w:cs="Wingdings"/>
      <w:color w:val="auto"/>
    </w:rPr>
  </w:style>
  <w:style w:type="character" w:styleId="WW8Num217z0">
    <w:name w:val="WW8Num217z0"/>
    <w:qFormat/>
    <w:rPr/>
  </w:style>
  <w:style w:type="character" w:styleId="WW8Num218z0">
    <w:name w:val="WW8Num218z0"/>
    <w:qFormat/>
    <w:rPr>
      <w:rFonts w:ascii="Symbol" w:hAnsi="Symbol" w:cs="Symbol"/>
    </w:rPr>
  </w:style>
  <w:style w:type="character" w:styleId="WW8Num220z0">
    <w:name w:val="WW8Num220z0"/>
    <w:qFormat/>
    <w:rPr>
      <w:rFonts w:ascii="Wingdings" w:hAnsi="Wingdings" w:cs="Wingdings"/>
    </w:rPr>
  </w:style>
  <w:style w:type="character" w:styleId="WW8Num221z0">
    <w:name w:val="WW8Num221z0"/>
    <w:qFormat/>
    <w:rPr/>
  </w:style>
  <w:style w:type="character" w:styleId="WW8Num222z0">
    <w:name w:val="WW8Num222z0"/>
    <w:qFormat/>
    <w:rPr>
      <w:rFonts w:ascii="Wingdings" w:hAnsi="Wingdings" w:cs="Wingdings"/>
    </w:rPr>
  </w:style>
  <w:style w:type="character" w:styleId="WW8Num223z0">
    <w:name w:val="WW8Num223z0"/>
    <w:qFormat/>
    <w:rPr>
      <w:rFonts w:ascii="Wingdings" w:hAnsi="Wingdings" w:cs="Wingdings"/>
    </w:rPr>
  </w:style>
  <w:style w:type="character" w:styleId="WW8Num224z0">
    <w:name w:val="WW8Num224z0"/>
    <w:qFormat/>
    <w:rPr>
      <w:rFonts w:ascii="Wingdings" w:hAnsi="Wingdings" w:cs="Wingdings"/>
    </w:rPr>
  </w:style>
  <w:style w:type="character" w:styleId="WW8Num225z0">
    <w:name w:val="WW8Num225z0"/>
    <w:qFormat/>
    <w:rPr>
      <w:u w:val="none"/>
    </w:rPr>
  </w:style>
  <w:style w:type="character" w:styleId="WW8Num226z0">
    <w:name w:val="WW8Num226z0"/>
    <w:qFormat/>
    <w:rPr>
      <w:rFonts w:ascii="Wingdings" w:hAnsi="Wingdings" w:cs="Wingdings"/>
    </w:rPr>
  </w:style>
  <w:style w:type="character" w:styleId="WW8Num227z0">
    <w:name w:val="WW8Num227z0"/>
    <w:qFormat/>
    <w:rPr/>
  </w:style>
  <w:style w:type="character" w:styleId="WW8Num228z0">
    <w:name w:val="WW8Num228z0"/>
    <w:qFormat/>
    <w:rPr>
      <w:rFonts w:ascii="Monotype Sorts;Symbol" w:hAnsi="Monotype Sorts;Symbol" w:cs="Book Antiqua"/>
    </w:rPr>
  </w:style>
  <w:style w:type="character" w:styleId="WW8Num230z0">
    <w:name w:val="WW8Num230z0"/>
    <w:qFormat/>
    <w:rPr>
      <w:rFonts w:ascii="Times New Roman" w:hAnsi="Times New Roman" w:cs="Times New Roman"/>
    </w:rPr>
  </w:style>
  <w:style w:type="character" w:styleId="WW8Num231z0">
    <w:name w:val="WW8Num231z0"/>
    <w:qFormat/>
    <w:rPr>
      <w:u w:val="none"/>
    </w:rPr>
  </w:style>
  <w:style w:type="character" w:styleId="WW8Num232z0">
    <w:name w:val="WW8Num232z0"/>
    <w:qFormat/>
    <w:rPr/>
  </w:style>
  <w:style w:type="character" w:styleId="WW8Num233z0">
    <w:name w:val="WW8Num233z0"/>
    <w:qFormat/>
    <w:rPr>
      <w:rFonts w:ascii="Symbol" w:hAnsi="Symbol" w:cs="Symbol"/>
      <w:color w:val="auto"/>
    </w:rPr>
  </w:style>
  <w:style w:type="character" w:styleId="WW8Num234z0">
    <w:name w:val="WW8Num234z0"/>
    <w:qFormat/>
    <w:rPr/>
  </w:style>
  <w:style w:type="character" w:styleId="WW8Num235z0">
    <w:name w:val="WW8Num235z0"/>
    <w:qFormat/>
    <w:rPr/>
  </w:style>
  <w:style w:type="character" w:styleId="WW8Num236z0">
    <w:name w:val="WW8Num236z0"/>
    <w:qFormat/>
    <w:rPr>
      <w:rFonts w:ascii="Wingdings" w:hAnsi="Wingdings" w:cs="Wingdings"/>
    </w:rPr>
  </w:style>
  <w:style w:type="character" w:styleId="WW8Num237z0">
    <w:name w:val="WW8Num237z0"/>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Monotype Sorts;Symbol" w:hAnsi="Monotype Sorts;Symbol" w:cs="Book Antiqua"/>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Wingdings" w:hAnsi="Wingdings" w:cs="Wingdings"/>
    </w:rPr>
  </w:style>
  <w:style w:type="character" w:styleId="WW8Num245z0">
    <w:name w:val="WW8Num245z0"/>
    <w:qFormat/>
    <w:rPr>
      <w:rFonts w:ascii="Wingdings" w:hAnsi="Wingdings" w:cs="Wingdings"/>
    </w:rPr>
  </w:style>
  <w:style w:type="character" w:styleId="WW8Num245z3">
    <w:name w:val="WW8Num245z3"/>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rFonts w:ascii="Wingdings" w:hAnsi="Wingdings" w:cs="Wingdings"/>
    </w:rPr>
  </w:style>
  <w:style w:type="character" w:styleId="WW8Num251z0">
    <w:name w:val="WW8Num251z0"/>
    <w:qFormat/>
    <w:rPr>
      <w:rFonts w:ascii="Wingdings" w:hAnsi="Wingdings" w:cs="Wingdings"/>
    </w:rPr>
  </w:style>
  <w:style w:type="character" w:styleId="WW8Num252z0">
    <w:name w:val="WW8Num252z0"/>
    <w:qFormat/>
    <w:rPr>
      <w:rFonts w:ascii="Wingdings" w:hAnsi="Wingdings" w:cs="Wingdings"/>
    </w:rPr>
  </w:style>
  <w:style w:type="character" w:styleId="WW8Num253z0">
    <w:name w:val="WW8Num253z0"/>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u w:val="none"/>
    </w:rPr>
  </w:style>
  <w:style w:type="character" w:styleId="WW8Num261z0">
    <w:name w:val="WW8Num261z0"/>
    <w:qFormat/>
    <w:rPr>
      <w:rFonts w:ascii="Symbol" w:hAnsi="Symbol" w:cs="Symbol"/>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rFonts w:ascii="Wingdings" w:hAnsi="Wingdings" w:cs="Wingdings"/>
    </w:rPr>
  </w:style>
  <w:style w:type="character" w:styleId="WW8Num268z0">
    <w:name w:val="WW8Num268z0"/>
    <w:qFormat/>
    <w:rPr>
      <w:rFonts w:ascii="Symbol" w:hAnsi="Symbol" w:cs="Symbol"/>
      <w:color w:val="auto"/>
    </w:rPr>
  </w:style>
  <w:style w:type="character" w:styleId="WW8Num269z0">
    <w:name w:val="WW8Num269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rPr>
  </w:style>
  <w:style w:type="character" w:styleId="WW8Num275z0">
    <w:name w:val="WW8Num275z0"/>
    <w:qFormat/>
    <w:rPr>
      <w:rFonts w:ascii="Wingdings" w:hAnsi="Wingdings" w:cs="Wingdings"/>
    </w:rPr>
  </w:style>
  <w:style w:type="character" w:styleId="WW8Num276z0">
    <w:name w:val="WW8Num276z0"/>
    <w:qFormat/>
    <w:rPr>
      <w:rFonts w:ascii="Symbol" w:hAnsi="Symbol" w:cs="Symbol"/>
      <w:color w:val="auto"/>
    </w:rPr>
  </w:style>
  <w:style w:type="character" w:styleId="WW8Num277z1">
    <w:name w:val="WW8Num277z1"/>
    <w:qFormat/>
    <w:rPr>
      <w:rFonts w:ascii="Wingdings" w:hAnsi="Wingdings" w:cs="Wingdings"/>
      <w:color w:val="auto"/>
    </w:rPr>
  </w:style>
  <w:style w:type="character" w:styleId="WW8Num278z0">
    <w:name w:val="WW8Num278z0"/>
    <w:qFormat/>
    <w:rPr/>
  </w:style>
  <w:style w:type="character" w:styleId="WW8Num280z0">
    <w:name w:val="WW8Num280z0"/>
    <w:qFormat/>
    <w:rPr>
      <w:rFonts w:ascii="Symbol" w:hAnsi="Symbol" w:cs="Symbol"/>
    </w:rPr>
  </w:style>
  <w:style w:type="character" w:styleId="WW8Num281z0">
    <w:name w:val="WW8Num281z0"/>
    <w:qFormat/>
    <w:rPr>
      <w:rFonts w:ascii="Wingdings" w:hAnsi="Wingdings" w:cs="Wingdings"/>
    </w:rPr>
  </w:style>
  <w:style w:type="character" w:styleId="WW8Num282z0">
    <w:name w:val="WW8Num282z0"/>
    <w:qFormat/>
    <w:rPr/>
  </w:style>
  <w:style w:type="character" w:styleId="WW8Num283z0">
    <w:name w:val="WW8Num283z0"/>
    <w:qFormat/>
    <w:rPr/>
  </w:style>
  <w:style w:type="character" w:styleId="WW8Num285z0">
    <w:name w:val="WW8Num285z0"/>
    <w:qFormat/>
    <w:rPr/>
  </w:style>
  <w:style w:type="character" w:styleId="WW8Num286z0">
    <w:name w:val="WW8Num286z0"/>
    <w:qFormat/>
    <w:rPr/>
  </w:style>
  <w:style w:type="character" w:styleId="WW8Num287z0">
    <w:name w:val="WW8Num287z0"/>
    <w:qFormat/>
    <w:rPr>
      <w:rFonts w:ascii="Wingdings" w:hAnsi="Wingdings" w:cs="Wingdings"/>
    </w:rPr>
  </w:style>
  <w:style w:type="character" w:styleId="WW8Num289z0">
    <w:name w:val="WW8Num289z0"/>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Wingdings" w:hAnsi="Wingdings" w:cs="Wingdings"/>
    </w:rPr>
  </w:style>
  <w:style w:type="character" w:styleId="WW8Num292z0">
    <w:name w:val="WW8Num292z0"/>
    <w:qFormat/>
    <w:rPr>
      <w:rFonts w:ascii="Wingdings" w:hAnsi="Wingdings" w:cs="Wingdings"/>
    </w:rPr>
  </w:style>
  <w:style w:type="character" w:styleId="WW8Num293z0">
    <w:name w:val="WW8Num293z0"/>
    <w:qFormat/>
    <w:rPr>
      <w:rFonts w:ascii="Wingdings" w:hAnsi="Wingdings" w:cs="Wingdings"/>
    </w:rPr>
  </w:style>
  <w:style w:type="character" w:styleId="WW8Num294z0">
    <w:name w:val="WW8Num294z0"/>
    <w:qFormat/>
    <w:rPr>
      <w:rFonts w:ascii="Symbol" w:hAnsi="Symbol" w:cs="Symbol"/>
    </w:rPr>
  </w:style>
  <w:style w:type="character" w:styleId="WW8Num295z0">
    <w:name w:val="WW8Num295z0"/>
    <w:qFormat/>
    <w:rPr>
      <w:rFonts w:ascii="Wingdings" w:hAnsi="Wingdings" w:cs="Wingdings"/>
    </w:rPr>
  </w:style>
  <w:style w:type="character" w:styleId="WW8Num297z0">
    <w:name w:val="WW8Num297z0"/>
    <w:qFormat/>
    <w:rPr/>
  </w:style>
  <w:style w:type="character" w:styleId="WW8Num298z0">
    <w:name w:val="WW8Num298z0"/>
    <w:qFormat/>
    <w:rPr>
      <w:rFonts w:ascii="Wingdings" w:hAnsi="Wingdings" w:cs="Wingdings"/>
    </w:rPr>
  </w:style>
  <w:style w:type="character" w:styleId="WW8Num299z0">
    <w:name w:val="WW8Num299z0"/>
    <w:qFormat/>
    <w:rPr>
      <w:b w:val="false"/>
      <w:sz w:val="24"/>
      <w:u w:val="none"/>
    </w:rPr>
  </w:style>
  <w:style w:type="character" w:styleId="WW8Num301z0">
    <w:name w:val="WW8Num301z0"/>
    <w:qFormat/>
    <w:rPr>
      <w:rFonts w:ascii="Symbol" w:hAnsi="Symbol" w:cs="Symbol"/>
    </w:rPr>
  </w:style>
  <w:style w:type="character" w:styleId="WW8Num303z0">
    <w:name w:val="WW8Num303z0"/>
    <w:qFormat/>
    <w:rPr>
      <w:rFonts w:ascii="Wingdings" w:hAnsi="Wingdings" w:cs="Wingdings"/>
    </w:rPr>
  </w:style>
  <w:style w:type="character" w:styleId="WW8Num304z0">
    <w:name w:val="WW8Num304z0"/>
    <w:qFormat/>
    <w:rPr/>
  </w:style>
  <w:style w:type="character" w:styleId="WW8Num306z0">
    <w:name w:val="WW8Num306z0"/>
    <w:qFormat/>
    <w:rPr>
      <w:rFonts w:ascii="Wingdings" w:hAnsi="Wingdings" w:cs="Wingdings"/>
    </w:rPr>
  </w:style>
  <w:style w:type="character" w:styleId="WW8Num308z0">
    <w:name w:val="WW8Num308z0"/>
    <w:qFormat/>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3z0">
    <w:name w:val="WW8Num313z0"/>
    <w:qFormat/>
    <w:rPr>
      <w:rFonts w:ascii="Wingdings" w:hAnsi="Wingdings" w:cs="Wingdings"/>
    </w:rPr>
  </w:style>
  <w:style w:type="character" w:styleId="WW8Num314z0">
    <w:name w:val="WW8Num314z0"/>
    <w:qFormat/>
    <w:rPr/>
  </w:style>
  <w:style w:type="character" w:styleId="WW8Num316z0">
    <w:name w:val="WW8Num316z0"/>
    <w:qFormat/>
    <w:rPr>
      <w:rFonts w:ascii="Monotype Sorts;Symbol" w:hAnsi="Monotype Sorts;Symbol" w:cs="Book Antiqua"/>
    </w:rPr>
  </w:style>
  <w:style w:type="character" w:styleId="WW8Num317z0">
    <w:name w:val="WW8Num317z0"/>
    <w:qFormat/>
    <w:rPr>
      <w:rFonts w:ascii="Wingdings" w:hAnsi="Wingdings" w:cs="Wingdings"/>
    </w:rPr>
  </w:style>
  <w:style w:type="character" w:styleId="WW8Num318z0">
    <w:name w:val="WW8Num318z0"/>
    <w:qFormat/>
    <w:rPr>
      <w:rFonts w:ascii="Wingdings" w:hAnsi="Wingdings" w:cs="Wingdings"/>
    </w:rPr>
  </w:style>
  <w:style w:type="character" w:styleId="WW8Num321z0">
    <w:name w:val="WW8Num321z0"/>
    <w:qFormat/>
    <w:rPr>
      <w:rFonts w:ascii="Wingdings" w:hAnsi="Wingdings" w:cs="Wingdings"/>
    </w:rPr>
  </w:style>
  <w:style w:type="character" w:styleId="WW8Num322z0">
    <w:name w:val="WW8Num322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Wingdings" w:hAnsi="Wingdings" w:cs="Wingdings"/>
    </w:rPr>
  </w:style>
  <w:style w:type="character" w:styleId="WW8Num326z0">
    <w:name w:val="WW8Num326z0"/>
    <w:qFormat/>
    <w:rPr>
      <w:rFonts w:ascii="Wingdings" w:hAnsi="Wingdings" w:cs="Wingdings"/>
    </w:rPr>
  </w:style>
  <w:style w:type="character" w:styleId="WW8Num327z0">
    <w:name w:val="WW8Num327z0"/>
    <w:qFormat/>
    <w:rPr/>
  </w:style>
  <w:style w:type="character" w:styleId="WW8Num328z0">
    <w:name w:val="WW8Num328z0"/>
    <w:qFormat/>
    <w:rPr>
      <w:rFonts w:ascii="Symbol" w:hAnsi="Symbol" w:cs="Symbol"/>
    </w:rPr>
  </w:style>
  <w:style w:type="character" w:styleId="WW8Num331z0">
    <w:name w:val="WW8Num331z0"/>
    <w:qFormat/>
    <w:rPr/>
  </w:style>
  <w:style w:type="character" w:styleId="WW8Num332z0">
    <w:name w:val="WW8Num332z0"/>
    <w:qFormat/>
    <w:rPr>
      <w:rFonts w:ascii="Symbol" w:hAnsi="Symbol" w:cs="Symbol"/>
    </w:rPr>
  </w:style>
  <w:style w:type="character" w:styleId="WW8Num333z0">
    <w:name w:val="WW8Num333z0"/>
    <w:qFormat/>
    <w:rPr/>
  </w:style>
  <w:style w:type="character" w:styleId="WW8Num334z0">
    <w:name w:val="WW8Num334z0"/>
    <w:qFormat/>
    <w:rPr>
      <w:rFonts w:ascii="Wingdings" w:hAnsi="Wingdings" w:cs="Wingdings"/>
    </w:rPr>
  </w:style>
  <w:style w:type="character" w:styleId="WW8Num335z0">
    <w:name w:val="WW8Num335z0"/>
    <w:qFormat/>
    <w:rPr>
      <w:rFonts w:ascii="Symbol" w:hAnsi="Symbol" w:cs="Symbol"/>
    </w:rPr>
  </w:style>
  <w:style w:type="character" w:styleId="WW8Num336z0">
    <w:name w:val="WW8Num336z0"/>
    <w:qFormat/>
    <w:rPr>
      <w:rFonts w:ascii="Wingdings" w:hAnsi="Wingdings" w:cs="Wingdings"/>
    </w:rPr>
  </w:style>
  <w:style w:type="character" w:styleId="WW8NumSt99z0">
    <w:name w:val="WW8NumSt99z0"/>
    <w:qFormat/>
    <w:rPr>
      <w:rFonts w:ascii="Monotype Sorts;Symbol" w:hAnsi="Monotype Sorts;Symbol" w:cs="Monotype Sorts;Symbol"/>
      <w:sz w:val="40"/>
    </w:rPr>
  </w:style>
  <w:style w:type="character" w:styleId="WW8NumSt195z0">
    <w:name w:val="WW8NumSt195z0"/>
    <w:qFormat/>
    <w:rPr>
      <w:rFonts w:ascii="Symbol" w:hAnsi="Symbol" w:cs="Symbol"/>
    </w:rPr>
  </w:style>
  <w:style w:type="character" w:styleId="WW8NumSt293z0">
    <w:name w:val="WW8NumSt293z0"/>
    <w:qFormat/>
    <w:rPr>
      <w:rFonts w:ascii="Arial" w:hAnsi="Arial" w:cs="Arial"/>
      <w:sz w:val="16"/>
    </w:rPr>
  </w:style>
  <w:style w:type="character" w:styleId="WW8NumSt301z0">
    <w:name w:val="WW8NumSt301z0"/>
    <w:qFormat/>
    <w:rPr>
      <w:rFonts w:ascii="Arial" w:hAnsi="Arial" w:cs="Arial"/>
      <w:sz w:val="3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48"/>
    </w:rPr>
  </w:style>
  <w:style w:type="paragraph" w:styleId="BodyText">
    <w:name w:val="Body Text"/>
    <w:basedOn w:val="Normal"/>
    <w:pPr>
      <w:tabs>
        <w:tab w:val="clear" w:pos="720"/>
        <w:tab w:val="left" w:pos="0" w:leader="none"/>
        <w:tab w:val="left" w:pos="630" w:leader="none"/>
      </w:tabs>
      <w:spacing w:before="0" w:after="120"/>
      <w:ind w:hanging="0" w:start="72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2">
    <w:name w:val="List Number 2"/>
    <w:basedOn w:val="Normal"/>
    <w:qFormat/>
    <w:pPr>
      <w:numPr>
        <w:ilvl w:val="0"/>
        <w:numId w:val="8"/>
      </w:numPr>
      <w:tabs>
        <w:tab w:val="clear" w:pos="720"/>
        <w:tab w:val="left" w:pos="630" w:leader="none"/>
      </w:tabs>
      <w:spacing w:before="0" w:after="120"/>
      <w:jc w:val="both"/>
    </w:pPr>
    <w:rPr>
      <w:sz w:val="24"/>
    </w:rPr>
  </w:style>
  <w:style w:type="paragraph" w:styleId="BodyTextIndent2">
    <w:name w:val="Body Text Indent 2"/>
    <w:basedOn w:val="Normal"/>
    <w:qFormat/>
    <w:pPr>
      <w:numPr>
        <w:ilvl w:val="0"/>
        <w:numId w:val="2"/>
      </w:numPr>
      <w:tabs>
        <w:tab w:val="clear" w:pos="720"/>
        <w:tab w:val="left" w:pos="630" w:leader="none"/>
      </w:tabs>
      <w:spacing w:before="0" w:after="120"/>
      <w:jc w:val="both"/>
    </w:pPr>
    <w:rPr>
      <w:sz w:val="24"/>
    </w:rPr>
  </w:style>
  <w:style w:type="paragraph" w:styleId="H1Text">
    <w:name w:val="H1 Text"/>
    <w:basedOn w:val="Normal"/>
    <w:qFormat/>
    <w:pPr>
      <w:ind w:hanging="0" w:start="0" w:end="0"/>
    </w:pPr>
    <w:rPr>
      <w:sz w:val="24"/>
    </w:rPr>
  </w:style>
  <w:style w:type="paragraph" w:styleId="H2Text">
    <w:name w:val="H2 Text"/>
    <w:basedOn w:val="H1Text"/>
    <w:qFormat/>
    <w:pPr/>
    <w:rPr/>
  </w:style>
  <w:style w:type="paragraph" w:styleId="H3Text">
    <w:name w:val="H3 Text"/>
    <w:basedOn w:val="H2Text"/>
    <w:qFormat/>
    <w:pPr>
      <w:ind w:hanging="0" w:start="0" w:end="0"/>
    </w:pPr>
    <w:rPr/>
  </w:style>
  <w:style w:type="paragraph" w:styleId="TOC1">
    <w:name w:val="toc 1"/>
    <w:basedOn w:val="Normal"/>
    <w:next w:val="Normal"/>
    <w:pPr>
      <w:tabs>
        <w:tab w:val="clear" w:pos="720"/>
        <w:tab w:val="left" w:pos="660" w:leader="none"/>
        <w:tab w:val="right" w:pos="8630" w:leader="dot"/>
      </w:tabs>
      <w:spacing w:before="120" w:after="120"/>
      <w:ind w:hanging="0" w:start="0" w:end="0"/>
    </w:pPr>
    <w:rPr>
      <w:rFonts w:ascii="Times New Roman" w:hAnsi="Times New Roman" w:cs="Times New Roman"/>
      <w:b/>
      <w:caps/>
      <w:sz w:val="32"/>
      <w:szCs w:val="36"/>
      <w:lang w:val="en-CA" w:eastAsia="en-CA"/>
    </w:rPr>
  </w:style>
  <w:style w:type="paragraph" w:styleId="TOC2">
    <w:name w:val="toc 2"/>
    <w:basedOn w:val="Normal"/>
    <w:next w:val="Normal"/>
    <w:pPr>
      <w:ind w:hanging="0" w:start="220" w:end="0"/>
    </w:pPr>
    <w:rPr>
      <w:rFonts w:ascii="Times New Roman" w:hAnsi="Times New Roman" w:cs="Times New Roman"/>
      <w:smallCaps/>
      <w:sz w:val="20"/>
    </w:rPr>
  </w:style>
  <w:style w:type="paragraph" w:styleId="TOC3">
    <w:name w:val="toc 3"/>
    <w:basedOn w:val="Normal"/>
    <w:next w:val="Normal"/>
    <w:pPr>
      <w:ind w:hanging="0" w:start="440" w:end="0"/>
    </w:pPr>
    <w:rPr>
      <w:rFonts w:ascii="Times New Roman" w:hAnsi="Times New Roman" w:cs="Times New Roman"/>
      <w:i/>
      <w:sz w:val="20"/>
    </w:rPr>
  </w:style>
  <w:style w:type="paragraph" w:styleId="Question">
    <w:name w:val="Question"/>
    <w:basedOn w:val="Normal"/>
    <w:qFormat/>
    <w:pPr>
      <w:tabs>
        <w:tab w:val="clear" w:pos="720"/>
        <w:tab w:val="left" w:pos="630" w:leader="none"/>
      </w:tabs>
      <w:spacing w:before="0" w:after="120"/>
      <w:jc w:val="both"/>
    </w:pPr>
    <w:rPr>
      <w:b/>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630" w:leader="none"/>
        <w:tab w:val="center" w:pos="4320" w:leader="none"/>
        <w:tab w:val="right" w:pos="8640" w:leader="none"/>
      </w:tabs>
      <w:spacing w:before="0" w:after="120"/>
      <w:jc w:val="both"/>
    </w:pPr>
    <w:rPr>
      <w:sz w:val="24"/>
    </w:rPr>
  </w:style>
  <w:style w:type="paragraph" w:styleId="Header">
    <w:name w:val="header"/>
    <w:basedOn w:val="Normal"/>
    <w:pPr>
      <w:tabs>
        <w:tab w:val="clear" w:pos="720"/>
        <w:tab w:val="left" w:pos="630" w:leader="none"/>
        <w:tab w:val="center" w:pos="4320" w:leader="none"/>
        <w:tab w:val="right" w:pos="8640" w:leader="none"/>
      </w:tabs>
      <w:spacing w:before="0" w:after="120"/>
      <w:jc w:val="both"/>
    </w:pPr>
    <w:rPr>
      <w:sz w:val="24"/>
    </w:rPr>
  </w:style>
  <w:style w:type="paragraph" w:styleId="BodyTextIndent">
    <w:name w:val="Body Text Indent"/>
    <w:basedOn w:val="Normal"/>
    <w:pPr>
      <w:ind w:hanging="0" w:start="720" w:end="0"/>
      <w:jc w:val="both"/>
    </w:pPr>
    <w:rPr>
      <w:rFonts w:ascii="Book Antiqua" w:hAnsi="Book Antiqua" w:cs="Book Antiqua"/>
      <w:sz w:val="24"/>
    </w:rPr>
  </w:style>
  <w:style w:type="paragraph" w:styleId="BodyTextIndent3">
    <w:name w:val="Body Text Indent 3"/>
    <w:basedOn w:val="Normal"/>
    <w:qFormat/>
    <w:pPr>
      <w:ind w:hanging="0" w:start="360" w:end="0"/>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tyle>
  <w:style w:type="paragraph" w:styleId="BodyText3">
    <w:name w:val="Body Text 3"/>
    <w:basedOn w:val="Normal"/>
    <w:qFormat/>
    <w:pPr>
      <w:jc w:val="center"/>
    </w:pPr>
    <w:rPr>
      <w:b/>
      <w:sz w:val="48"/>
    </w:rPr>
  </w:style>
  <w:style w:type="paragraph" w:styleId="TOC4">
    <w:name w:val="toc 4"/>
    <w:basedOn w:val="Normal"/>
    <w:next w:val="Normal"/>
    <w:pPr>
      <w:ind w:hanging="0" w:start="660" w:end="0"/>
    </w:pPr>
    <w:rPr>
      <w:rFonts w:ascii="Times New Roman" w:hAnsi="Times New Roman" w:cs="Times New Roman"/>
      <w:sz w:val="18"/>
    </w:rPr>
  </w:style>
  <w:style w:type="paragraph" w:styleId="TOC5">
    <w:name w:val="toc 5"/>
    <w:basedOn w:val="Normal"/>
    <w:next w:val="Normal"/>
    <w:pPr>
      <w:ind w:hanging="0" w:start="880" w:end="0"/>
    </w:pPr>
    <w:rPr>
      <w:rFonts w:ascii="Times New Roman" w:hAnsi="Times New Roman" w:cs="Times New Roman"/>
      <w:sz w:val="18"/>
    </w:rPr>
  </w:style>
  <w:style w:type="paragraph" w:styleId="TOC6">
    <w:name w:val="toc 6"/>
    <w:basedOn w:val="Normal"/>
    <w:next w:val="Normal"/>
    <w:pPr>
      <w:ind w:hanging="0" w:start="1100" w:end="0"/>
    </w:pPr>
    <w:rPr>
      <w:rFonts w:ascii="Times New Roman" w:hAnsi="Times New Roman" w:cs="Times New Roman"/>
      <w:sz w:val="18"/>
    </w:rPr>
  </w:style>
  <w:style w:type="paragraph" w:styleId="TOC7">
    <w:name w:val="toc 7"/>
    <w:basedOn w:val="Normal"/>
    <w:next w:val="Normal"/>
    <w:pPr>
      <w:ind w:hanging="0" w:start="1320" w:end="0"/>
    </w:pPr>
    <w:rPr>
      <w:rFonts w:ascii="Times New Roman" w:hAnsi="Times New Roman" w:cs="Times New Roman"/>
      <w:sz w:val="18"/>
    </w:rPr>
  </w:style>
  <w:style w:type="paragraph" w:styleId="TOC8">
    <w:name w:val="toc 8"/>
    <w:basedOn w:val="Normal"/>
    <w:next w:val="Normal"/>
    <w:pPr>
      <w:ind w:hanging="0" w:start="1540" w:end="0"/>
    </w:pPr>
    <w:rPr>
      <w:rFonts w:ascii="Times New Roman" w:hAnsi="Times New Roman" w:cs="Times New Roman"/>
      <w:sz w:val="18"/>
    </w:rPr>
  </w:style>
  <w:style w:type="paragraph" w:styleId="TOC9">
    <w:name w:val="toc 9"/>
    <w:basedOn w:val="Normal"/>
    <w:next w:val="Normal"/>
    <w:pPr>
      <w:ind w:hanging="0" w:start="1760" w:end="0"/>
    </w:pPr>
    <w:rPr>
      <w:rFonts w:ascii="Times New Roman" w:hAnsi="Times New Roman" w:cs="Times New Roman"/>
      <w:sz w:val="18"/>
    </w:rPr>
  </w:style>
  <w:style w:type="paragraph" w:styleId="Index1">
    <w:name w:val="index 1"/>
    <w:basedOn w:val="Normal"/>
    <w:next w:val="Normal"/>
    <w:pPr>
      <w:ind w:hanging="220" w:start="22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63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2001-07-13T01:49:00Z</dcterms:created>
  <dc:creator>Jason R. Wiesepape</dc:creator>
  <dc:description/>
  <dc:language>en-CA</dc:language>
  <cp:lastModifiedBy>amccull</cp:lastModifiedBy>
  <cp:lastPrinted>2001-07-13T08:49:00Z</cp:lastPrinted>
  <dcterms:modified xsi:type="dcterms:W3CDTF">2001-07-13T12:39:00Z</dcterms:modified>
  <cp:revision>4</cp:revision>
  <dc:subject/>
  <dc:title>Response to RFP</dc:title>
</cp:coreProperties>
</file>