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0" w:end="0"/>
        <w:rPr>
          <w:b/>
        </w:rPr>
      </w:pPr>
      <w:r>
        <w:rPr>
          <w:b/>
        </w:rPr>
        <w:t xml:space="preserve">     </w:t>
      </w:r>
      <w:r>
        <w:rPr>
          <w:b/>
        </w:rPr>
        <w:t>EXHIBIT “C”</w:t>
        <w:tab/>
        <w:tab/>
        <w:tab/>
      </w:r>
      <w:r>
        <w:rPr>
          <w:b/>
          <w:sz w:val="36"/>
        </w:rPr>
        <w:t>DRAFT</w:t>
      </w:r>
    </w:p>
    <w:p>
      <w:pPr>
        <w:pStyle w:val="Heading1"/>
        <w:ind w:hanging="0" w:start="0"/>
        <w:rPr>
          <w:u w:val="single"/>
        </w:rPr>
      </w:pPr>
      <w:r>
        <w:rPr>
          <w:u w:val="single"/>
        </w:rPr>
        <w:t>OPERATING PARAMETERS</w:t>
      </w:r>
    </w:p>
    <w:p>
      <w:pPr>
        <w:pStyle w:val="Normal"/>
        <w:jc w:val="center"/>
        <w:rPr>
          <w:b/>
        </w:rPr>
      </w:pPr>
      <w:r>
        <w:rPr>
          <w:b/>
        </w:rPr>
      </w:r>
    </w:p>
    <w:p>
      <w:pPr>
        <w:pStyle w:val="Normal"/>
        <w:jc w:val="center"/>
        <w:rPr>
          <w:b/>
        </w:rPr>
      </w:pPr>
      <w:r>
        <w:rPr>
          <w:b/>
        </w:rPr>
      </w:r>
    </w:p>
    <w:p>
      <w:pPr>
        <w:pStyle w:val="BodyText"/>
        <w:rPr/>
      </w:pPr>
      <w:r>
        <w:rPr/>
        <w:t>The following describes potential operating scenarios and anticipated gas consumption rates for the South Point Project to be connected to Transwestern Pipeline Company’s facilities.  These scenarios have been identified by CPN South Point LLC as conditions that may exist from time to time and under which Transwestern will operate the Measurement and Control Facilities to effect deliveries of natural gas to South Point.  CPN South Point LLC shall follow the gas scheduling and confirmation procedures under all applicable GISB standards and as set forth in Transwestern’s FERC Gas Tariff as it exists from time to time.  The operating scenarios listed below are not intended to identify all the possible conditions of the South Point Project, but should be representative of the anticipated operating parameters of the facility.  If the operating parameters deviate materially from those indicated below, Transwestern shall use commercially reasonable efforts to operate the Measurement and Control Facilities in order to deliver scheduled and confirmed volumes to the South Point Project.</w:t>
      </w:r>
    </w:p>
    <w:p>
      <w:pPr>
        <w:pStyle w:val="Normal"/>
        <w:rPr>
          <w:b/>
        </w:rPr>
      </w:pPr>
      <w:r>
        <w:rPr>
          <w:b/>
        </w:rPr>
      </w:r>
    </w:p>
    <w:p>
      <w:pPr>
        <w:pStyle w:val="Heading4"/>
        <w:ind w:hanging="0" w:start="0"/>
        <w:rPr>
          <w:b/>
          <w:i/>
          <w:i/>
          <w:sz w:val="24"/>
        </w:rPr>
      </w:pPr>
      <w:r>
        <w:rPr>
          <w:b/>
          <w:i/>
          <w:sz w:val="24"/>
        </w:rPr>
        <w:t>SOUTH POINT PROJECT OPERATING PARAMETERS:</w:t>
      </w:r>
    </w:p>
    <w:p>
      <w:pPr>
        <w:pStyle w:val="Header"/>
        <w:tabs>
          <w:tab w:val="clear" w:pos="4320"/>
          <w:tab w:val="clear" w:pos="8640"/>
        </w:tabs>
        <w:rPr>
          <w:b/>
          <w:i/>
          <w:i/>
          <w:sz w:val="24"/>
        </w:rPr>
      </w:pPr>
      <w:r>
        <w:rPr>
          <w:b/>
          <w:i/>
          <w:sz w:val="24"/>
        </w:rPr>
      </w:r>
    </w:p>
    <w:p>
      <w:pPr>
        <w:pStyle w:val="Normal"/>
        <w:rPr>
          <w:b/>
          <w:u w:val="single"/>
        </w:rPr>
      </w:pPr>
      <w:r>
        <w:rPr>
          <w:b/>
          <w:u w:val="single"/>
        </w:rPr>
        <w:t xml:space="preserve">Definition of Maximum Gas Consumption Under Steady State Conditions   </w:t>
      </w:r>
    </w:p>
    <w:p>
      <w:pPr>
        <w:pStyle w:val="Normal"/>
        <w:rPr>
          <w:b/>
          <w:u w:val="single"/>
        </w:rPr>
      </w:pPr>
      <w:r>
        <w:rPr>
          <w:b/>
          <w:u w:val="single"/>
        </w:rPr>
      </w:r>
    </w:p>
    <w:p>
      <w:pPr>
        <w:pStyle w:val="Heading2"/>
        <w:ind w:start="0" w:end="0"/>
        <w:rPr/>
      </w:pPr>
      <w:r>
        <w:rPr/>
        <w:t>Single Combustion Turbine(“ST”)</w:t>
      </w:r>
    </w:p>
    <w:p>
      <w:pPr>
        <w:pStyle w:val="BodyText"/>
        <w:numPr>
          <w:ilvl w:val="0"/>
          <w:numId w:val="4"/>
        </w:numPr>
        <w:rPr/>
      </w:pPr>
      <w:r>
        <w:rPr/>
        <w:t>Minimum Load</w:t>
        <w:tab/>
        <w:t xml:space="preserve">1,259 Dth/hr </w:t>
        <w:tab/>
        <w:tab/>
        <w:t>30,225   Dth/day</w:t>
      </w:r>
    </w:p>
    <w:p>
      <w:pPr>
        <w:pStyle w:val="BodyText"/>
        <w:numPr>
          <w:ilvl w:val="0"/>
          <w:numId w:val="3"/>
        </w:numPr>
        <w:rPr/>
      </w:pPr>
      <w:r>
        <w:rPr/>
        <w:t>Base Load</w:t>
        <w:tab/>
        <w:tab/>
        <w:t>2,061 Dth/hr</w:t>
        <w:tab/>
        <w:tab/>
        <w:t>49,462   Dth/day</w:t>
      </w:r>
    </w:p>
    <w:p>
      <w:pPr>
        <w:pStyle w:val="BodyText"/>
        <w:numPr>
          <w:ilvl w:val="0"/>
          <w:numId w:val="4"/>
        </w:numPr>
        <w:rPr/>
      </w:pPr>
      <w:r>
        <w:rPr/>
        <w:t>Peak Load</w:t>
        <w:tab/>
        <w:tab/>
        <w:t>2121  Dth/hr</w:t>
        <w:tab/>
        <w:tab/>
        <w:t>50,899   Dth/day</w:t>
      </w:r>
    </w:p>
    <w:p>
      <w:pPr>
        <w:pStyle w:val="BodyText"/>
        <w:rPr/>
      </w:pPr>
      <w:r>
        <w:rPr/>
      </w:r>
    </w:p>
    <w:p>
      <w:pPr>
        <w:pStyle w:val="BodyText"/>
        <w:rPr>
          <w:u w:val="single"/>
        </w:rPr>
      </w:pPr>
      <w:r>
        <w:rPr>
          <w:u w:val="single"/>
        </w:rPr>
        <w:t>Two Combustion Turbines(“2T”)</w:t>
      </w:r>
    </w:p>
    <w:p>
      <w:pPr>
        <w:pStyle w:val="BodyText"/>
        <w:numPr>
          <w:ilvl w:val="0"/>
          <w:numId w:val="4"/>
        </w:numPr>
        <w:rPr/>
      </w:pPr>
      <w:r>
        <w:rPr/>
        <w:t>Minimum Load</w:t>
        <w:tab/>
        <w:t>2,519 Dth/hr</w:t>
        <w:tab/>
        <w:tab/>
        <w:t>60,450   Dth/day</w:t>
      </w:r>
    </w:p>
    <w:p>
      <w:pPr>
        <w:pStyle w:val="BodyText"/>
        <w:numPr>
          <w:ilvl w:val="0"/>
          <w:numId w:val="4"/>
        </w:numPr>
        <w:rPr/>
      </w:pPr>
      <w:r>
        <w:rPr/>
        <w:t>Base Load</w:t>
        <w:tab/>
        <w:tab/>
        <w:t>4,122 Dth/hr</w:t>
        <w:tab/>
        <w:tab/>
        <w:t>98,925   Dth/day</w:t>
      </w:r>
    </w:p>
    <w:p>
      <w:pPr>
        <w:pStyle w:val="BodyText"/>
        <w:numPr>
          <w:ilvl w:val="0"/>
          <w:numId w:val="4"/>
        </w:numPr>
        <w:rPr/>
      </w:pPr>
      <w:r>
        <w:rPr/>
        <w:t>Peak Load</w:t>
        <w:tab/>
        <w:tab/>
        <w:t>4,242 Dth/hr</w:t>
        <w:tab/>
        <w:tab/>
        <w:t>101,798 Dth/day</w:t>
      </w:r>
    </w:p>
    <w:p>
      <w:pPr>
        <w:pStyle w:val="BodyText"/>
        <w:rPr>
          <w:b/>
        </w:rPr>
      </w:pPr>
      <w:r>
        <w:rPr>
          <w:b/>
        </w:rPr>
      </w:r>
    </w:p>
    <w:p>
      <w:pPr>
        <w:pStyle w:val="BodyText"/>
        <w:rPr>
          <w:b/>
          <w:u w:val="single"/>
        </w:rPr>
      </w:pPr>
      <w:r>
        <w:rPr>
          <w:b/>
          <w:u w:val="single"/>
        </w:rPr>
        <w:t>Definition of Maximum Gas Consumption Under Changing State Conditions</w:t>
      </w:r>
    </w:p>
    <w:p>
      <w:pPr>
        <w:pStyle w:val="BodyText"/>
        <w:rPr>
          <w:b/>
          <w:u w:val="single"/>
        </w:rPr>
      </w:pPr>
      <w:r>
        <w:rPr>
          <w:b/>
          <w:u w:val="single"/>
        </w:rPr>
      </w:r>
    </w:p>
    <w:p>
      <w:pPr>
        <w:pStyle w:val="BodyText"/>
        <w:rPr>
          <w:u w:val="single"/>
        </w:rPr>
      </w:pPr>
      <w:r>
        <w:rPr>
          <w:u w:val="single"/>
        </w:rPr>
        <w:t xml:space="preserve">Start Up </w:t>
      </w:r>
    </w:p>
    <w:p>
      <w:pPr>
        <w:pStyle w:val="BodyText"/>
        <w:numPr>
          <w:ilvl w:val="0"/>
          <w:numId w:val="2"/>
        </w:numPr>
        <w:rPr/>
      </w:pPr>
      <w:r>
        <w:rPr/>
        <w:t>Cold Start to Base Load</w:t>
        <w:tab/>
        <w:tab/>
        <w:tab/>
        <w:t>7,267 Dth over 210 Minutes</w:t>
      </w:r>
    </w:p>
    <w:p>
      <w:pPr>
        <w:pStyle w:val="BodyText"/>
        <w:numPr>
          <w:ilvl w:val="0"/>
          <w:numId w:val="2"/>
        </w:numPr>
        <w:rPr/>
      </w:pPr>
      <w:r>
        <w:rPr/>
        <w:t>Warm Start to Base Load</w:t>
        <w:tab/>
        <w:tab/>
        <w:tab/>
        <w:t>5,650 Dth over 120 Minutes</w:t>
      </w:r>
    </w:p>
    <w:p>
      <w:pPr>
        <w:pStyle w:val="BodyText"/>
        <w:numPr>
          <w:ilvl w:val="0"/>
          <w:numId w:val="2"/>
        </w:numPr>
        <w:rPr/>
      </w:pPr>
      <w:r>
        <w:rPr/>
        <w:t>Hot Start to Base Load</w:t>
        <w:tab/>
        <w:tab/>
        <w:tab/>
        <w:t>3,748 Dth over 80 Minutes</w:t>
      </w:r>
    </w:p>
    <w:p>
      <w:pPr>
        <w:pStyle w:val="BodyText"/>
        <w:rPr/>
      </w:pPr>
      <w:r>
        <w:rPr/>
      </w:r>
    </w:p>
    <w:p>
      <w:pPr>
        <w:pStyle w:val="BodyText"/>
        <w:rPr/>
      </w:pPr>
      <w:r>
        <w:rPr/>
        <w:t>The above rate is for two-combustion turbine operation, for single turbine operation gas consumption rates would be 50% of two turbine rates.</w:t>
      </w:r>
    </w:p>
    <w:p>
      <w:pPr>
        <w:pStyle w:val="BodyText"/>
        <w:rPr>
          <w:u w:val="single"/>
        </w:rPr>
      </w:pPr>
      <w:r>
        <w:rPr>
          <w:u w:val="single"/>
        </w:rPr>
      </w:r>
    </w:p>
    <w:p>
      <w:pPr>
        <w:pStyle w:val="BodyText"/>
        <w:rPr>
          <w:u w:val="single"/>
        </w:rPr>
      </w:pPr>
      <w:r>
        <w:rPr>
          <w:u w:val="single"/>
        </w:rPr>
        <w:t>Change Between Steady State Conditions</w:t>
      </w:r>
    </w:p>
    <w:p>
      <w:pPr>
        <w:pStyle w:val="BodyText"/>
        <w:numPr>
          <w:ilvl w:val="0"/>
          <w:numId w:val="5"/>
        </w:numPr>
        <w:rPr/>
      </w:pPr>
      <w:r>
        <w:rPr/>
        <w:t>The maximum rate of change between Steady State conditions is approximately 30 Dth per minute per CT.  With Two CT the rate is 60 Dth per minute.</w:t>
      </w:r>
    </w:p>
    <w:p>
      <w:pPr>
        <w:pStyle w:val="BodyText"/>
        <w:numPr>
          <w:ilvl w:val="0"/>
          <w:numId w:val="5"/>
        </w:numPr>
        <w:rPr/>
      </w:pPr>
      <w:r>
        <w:rPr/>
        <w:t>The ramp time between Minimum Load and Base Load is 20 Minutes</w:t>
      </w:r>
    </w:p>
    <w:p>
      <w:pPr>
        <w:pStyle w:val="BodyText"/>
        <w:numPr>
          <w:ilvl w:val="0"/>
          <w:numId w:val="5"/>
        </w:numPr>
        <w:rPr/>
      </w:pPr>
      <w:r>
        <w:rPr/>
        <w:t xml:space="preserve">The ramp time between Base Load and Peak load is 10 Minutes. </w:t>
      </w:r>
    </w:p>
    <w:p>
      <w:pPr>
        <w:pStyle w:val="BodyText"/>
        <w:rPr/>
      </w:pPr>
      <w:r>
        <w:rPr>
          <w:b/>
          <w:i/>
          <w:u w:val="single"/>
        </w:rPr>
        <w:t>OPERATING SCENARIOS</w:t>
      </w:r>
      <w:r>
        <w:rPr>
          <w:b/>
          <w:i/>
        </w:rPr>
        <w:t>: Variable Operation between Minimum Load, Base Load, and Peak Load Conditions</w:t>
      </w:r>
    </w:p>
    <w:p>
      <w:pPr>
        <w:pStyle w:val="BodyText"/>
        <w:rPr>
          <w:b/>
          <w:i/>
          <w:i/>
        </w:rPr>
      </w:pPr>
      <w:r>
        <w:rPr>
          <w:b/>
          <w:i/>
        </w:rPr>
      </w:r>
    </w:p>
    <w:p>
      <w:pPr>
        <w:pStyle w:val="BodyText"/>
        <w:numPr>
          <w:ilvl w:val="0"/>
          <w:numId w:val="4"/>
        </w:numPr>
        <w:rPr>
          <w:u w:val="single"/>
        </w:rPr>
      </w:pPr>
      <w:r>
        <w:rPr>
          <w:b/>
        </w:rPr>
        <w:t xml:space="preserve">Assumption:  </w:t>
      </w:r>
      <w:r>
        <w:rPr/>
        <w:t>During any Gas Day, deliveries to the South Point Project will be made at rates varying between the Minimum Load, Base Load, and the Peak Load Conditions. For the purposes of this Exhibit “C”, A Gas Day shall mean a 24 hour a period beginning and ending consistent with Transwestern’s gas scheduling day as specified in the then applicable tariff.</w:t>
      </w:r>
    </w:p>
    <w:p>
      <w:pPr>
        <w:pStyle w:val="BodyText"/>
        <w:rPr>
          <w:b/>
          <w:u w:val="single"/>
        </w:rPr>
      </w:pPr>
      <w:r>
        <w:rPr>
          <w:b/>
          <w:u w:val="single"/>
        </w:rPr>
      </w:r>
    </w:p>
    <w:p>
      <w:pPr>
        <w:pStyle w:val="BodyText"/>
        <w:ind w:firstLine="720" w:start="720" w:end="0"/>
        <w:rPr/>
      </w:pPr>
      <w:r>
        <w:rPr>
          <w:b/>
        </w:rPr>
        <w:t>Daily Load Profile:</w:t>
      </w:r>
      <w:r>
        <w:rPr/>
        <w:t xml:space="preserve"> Minimum Load, Base Load and Peak Load Conditions may exist over the course of a Gas Day. South Point will limit variations from Minimum Load to Base Load and back to Minimum Load to no more than twice in a Gas Day and limit variations from Base Load to Peak Load and back to Base Load to no more than three times during any Gas Day.  Also, upon arriving at a predetermined operating condition (Minimum Load, Base Load or Peak Load), South Point will remain at that operating condition for a minimum of 1 hour before changing to “another” operating condition. In any of the above variable profiles, the maximum duration of the Peak Load condition will not exceed 20 hours during any Gas Day, and there will be no variation in the “resting” load conditions, either Minimum Load or Base Load Condition, during the remaining 4 hours of any Gas Day.  </w:t>
      </w:r>
    </w:p>
    <w:sectPr>
      <w:footerReference w:type="default" r:id="rId2"/>
      <w:footerReference w:type="first" r:id="rId3"/>
      <w:type w:val="nextPage"/>
      <w:pgSz w:w="12240" w:h="15840"/>
      <w:pgMar w:left="1440" w:right="135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3.2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Liberation Serif" w:hAnsi="Liberation Serif" w:cs="Liberation Serif" w:hint="default"/>
      </w:rPr>
    </w:lvl>
  </w:abstractNum>
  <w:abstractNum w:abstractNumId="3">
    <w:lvl w:ilvl="0">
      <w:numFmt w:val="bullet"/>
      <w:lvlText w:val="-"/>
      <w:lvlJc w:val="start"/>
      <w:pPr>
        <w:tabs>
          <w:tab w:val="num" w:pos="720"/>
        </w:tabs>
        <w:ind w:start="720" w:hanging="720"/>
      </w:pPr>
      <w:rPr>
        <w:rFonts w:ascii="Liberation Serif" w:hAnsi="Liberation Serif" w:cs="Liberation Serif" w:hint="default"/>
      </w:rPr>
    </w:lvl>
  </w:abstractNum>
  <w:abstractNum w:abstractNumId="4">
    <w:lvl w:ilvl="0">
      <w:numFmt w:val="bullet"/>
      <w:lvlText w:val="-"/>
      <w:lvlJc w:val="start"/>
      <w:pPr>
        <w:tabs>
          <w:tab w:val="num" w:pos="720"/>
        </w:tabs>
        <w:ind w:start="720" w:hanging="720"/>
      </w:pPr>
      <w:rPr>
        <w:rFonts w:ascii="Liberation Serif" w:hAnsi="Liberation Serif" w:cs="Liberation Serif" w:hint="default"/>
      </w:rPr>
    </w:lvl>
  </w:abstractNum>
  <w:abstractNum w:abstractNumId="5">
    <w:lvl w:ilvl="0">
      <w:numFmt w:val="bullet"/>
      <w:lvlText w:val="-"/>
      <w:lvlJc w:val="start"/>
      <w:pPr>
        <w:tabs>
          <w:tab w:val="num" w:pos="720"/>
        </w:tabs>
        <w:ind w:start="720" w:hanging="72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Cs w:val="20"/>
    </w:rPr>
  </w:style>
  <w:style w:type="paragraph" w:styleId="Heading2">
    <w:name w:val="heading 2"/>
    <w:basedOn w:val="Normal"/>
    <w:next w:val="Normal"/>
    <w:qFormat/>
    <w:pPr>
      <w:keepNext w:val="true"/>
      <w:numPr>
        <w:ilvl w:val="1"/>
        <w:numId w:val="1"/>
      </w:numPr>
      <w:ind w:hanging="0" w:start="720" w:end="0"/>
      <w:outlineLvl w:val="1"/>
    </w:pPr>
    <w:rPr>
      <w:u w:val="single"/>
    </w:rPr>
  </w:style>
  <w:style w:type="paragraph" w:styleId="Heading4">
    <w:name w:val="heading 4"/>
    <w:basedOn w:val="Normal"/>
    <w:next w:val="Normal"/>
    <w:qFormat/>
    <w:pPr>
      <w:keepNext w:val="true"/>
      <w:widowControl w:val="false"/>
      <w:numPr>
        <w:ilvl w:val="3"/>
        <w:numId w:val="1"/>
      </w:numPr>
      <w:outlineLvl w:val="3"/>
    </w:pPr>
    <w:rPr>
      <w:sz w:val="20"/>
      <w:szCs w:val="20"/>
      <w:u w:val="single"/>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MS Serif" w:hAnsi="MS Serif" w:cs="MS Serif"/>
      <w:sz w:val="20"/>
      <w:szCs w:val="20"/>
    </w:rPr>
  </w:style>
  <w:style w:type="paragraph" w:styleId="Header">
    <w:name w:val="header"/>
    <w:basedOn w:val="Normal"/>
    <w:pPr>
      <w:tabs>
        <w:tab w:val="clear" w:pos="720"/>
        <w:tab w:val="center" w:pos="4320" w:leader="none"/>
        <w:tab w:val="right" w:pos="8640" w:leader="none"/>
      </w:tabs>
    </w:pPr>
    <w:rPr>
      <w:rFonts w:ascii="MS Serif" w:hAnsi="MS Serif" w:cs="MS Serif"/>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2000-11-14T15:20:00Z</dcterms:created>
  <dc:creator>ChadD</dc:creator>
  <dc:description/>
  <dc:language>en-CA</dc:language>
  <cp:lastModifiedBy>Enron</cp:lastModifiedBy>
  <dcterms:modified xsi:type="dcterms:W3CDTF">2000-11-14T15:20:00Z</dcterms:modified>
  <cp:revision>2</cp:revision>
  <dc:subject/>
  <dc:title>EXHIBIT “C”</dc:title>
</cp:coreProperties>
</file>