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O:\LEGAL\GNEMEC\OFF SYSTEM TRANSPORT\CALPINE CONFIRM1.DOC</w:t>
      </w:r>
    </w:p>
    <w:p>
      <w:pPr>
        <w:pStyle w:val="Normal"/>
        <w:bidi w:val="0"/>
        <w:jc w:val="start"/>
        <w:rPr/>
      </w:pPr>
      <w:r>
        <w:rPr/>
        <w:t>and revised document: O:\LEGAL\GNEMEC\OFF SYSTEM TRANSPORT\CALPINE CONFIRM2.DOC</w:t>
      </w:r>
    </w:p>
    <w:p>
      <w:pPr>
        <w:pStyle w:val="Normal"/>
        <w:bidi w:val="0"/>
        <w:jc w:val="start"/>
        <w:rPr/>
      </w:pPr>
      <w:r>
        <w:rPr/>
      </w:r>
    </w:p>
    <w:p>
      <w:pPr>
        <w:pStyle w:val="Normal"/>
        <w:bidi w:val="0"/>
        <w:jc w:val="start"/>
        <w:rPr/>
      </w:pPr>
      <w:r>
        <w:rPr/>
        <w:t>CompareRite found        6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Title"/>
        <w:bidi w:val="0"/>
        <w:jc w:val="start"/>
        <w:rPr>
          <w:rFonts w:ascii="Times New Roman" w:hAnsi="Times New Roman"/>
          <w:sz w:val="32"/>
        </w:rPr>
      </w:pPr>
      <w:r>
        <w:rPr/>
        <w:drawing>
          <wp:inline distT="0" distB="0" distL="0" distR="0">
            <wp:extent cx="1096010"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96010" cy="1124585"/>
                    </a:xfrm>
                    <a:prstGeom prst="rect">
                      <a:avLst/>
                    </a:prstGeom>
                    <a:noFill/>
                  </pic:spPr>
                </pic:pic>
              </a:graphicData>
            </a:graphic>
          </wp:inline>
        </w:drawing>
      </w:r>
      <w:r>
        <w:rPr>
          <w:sz w:val="20"/>
        </w:rPr>
        <w:t xml:space="preserve">      </w:t>
      </w:r>
      <w:r>
        <w:rPr>
          <w:rFonts w:ascii="Times New Roman" w:hAnsi="Times New Roman"/>
          <w:sz w:val="32"/>
        </w:rPr>
        <w:t>ENRON NORTH AMERICA CORP.</w:t>
      </w:r>
    </w:p>
    <w:p>
      <w:pPr>
        <w:pStyle w:val="Title"/>
        <w:bidi w:val="0"/>
        <w:jc w:val="start"/>
        <w:rPr>
          <w:sz w:val="20"/>
        </w:rPr>
      </w:pPr>
      <w:r>
        <w:rPr>
          <w:sz w:val="20"/>
        </w:rPr>
      </w:r>
    </w:p>
    <w:p>
      <w:pPr>
        <w:pStyle w:val="Title"/>
        <w:bidi w:val="0"/>
        <w:jc w:val="start"/>
        <w:rPr>
          <w:sz w:val="20"/>
        </w:rPr>
      </w:pPr>
      <w:r>
        <w:rPr>
          <w:sz w:val="20"/>
        </w:rPr>
      </w:r>
    </w:p>
    <w:p>
      <w:pPr>
        <w:pStyle w:val="Normal"/>
        <w:bidi w:val="0"/>
        <w:jc w:val="start"/>
        <w:rPr>
          <w:rFonts w:ascii="Times New Roman" w:hAnsi="Times New Roman"/>
        </w:rPr>
      </w:pPr>
      <w:r>
        <w:rPr>
          <w:rFonts w:ascii="Times New Roman" w:hAnsi="Times New Roman"/>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center"/>
        <w:rPr>
          <w:rFonts w:ascii="Arial Narrow" w:hAnsi="Arial Narrow"/>
          <w:sz w:val="19"/>
        </w:rPr>
      </w:pPr>
      <w:r>
        <w:rPr>
          <w:rFonts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center"/>
        <w:rPr>
          <w:rFonts w:ascii="Arial Narrow" w:hAnsi="Arial Narrow"/>
          <w:sz w:val="19"/>
        </w:rPr>
      </w:pPr>
      <w:r>
        <w:rPr>
          <w:rFonts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center"/>
        <w:rPr>
          <w:rFonts w:ascii="Arial Narrow" w:hAnsi="Arial Narrow"/>
          <w:sz w:val="19"/>
        </w:rPr>
      </w:pPr>
      <w:r>
        <w:rPr>
          <w:rFonts w:ascii="Arial Narrow" w:hAnsi="Arial Narrow"/>
          <w:sz w:val="19"/>
        </w:rPr>
        <w:t>December 27,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center"/>
        <w:rPr>
          <w:rFonts w:ascii="Arial Narrow" w:hAnsi="Arial Narrow"/>
          <w:sz w:val="19"/>
        </w:rPr>
      </w:pPr>
      <w:r>
        <w:rPr>
          <w:rFonts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9"/>
        </w:rPr>
      </w:pPr>
      <w:r>
        <w:rPr>
          <w:rFonts w:ascii="Arial Narrow" w:hAnsi="Arial Narrow"/>
          <w:sz w:val="19"/>
        </w:rPr>
      </w:r>
    </w:p>
    <w:p>
      <w:pPr>
        <w:pStyle w:val="Normal"/>
        <w:bidi w:val="0"/>
        <w:jc w:val="both"/>
        <w:rPr>
          <w:rFonts w:ascii="Arial Narrow" w:hAnsi="Arial Narrow"/>
          <w:sz w:val="18"/>
        </w:rPr>
      </w:pPr>
      <w:r>
        <w:rPr>
          <w:rFonts w:ascii="Arial Narrow" w:hAnsi="Arial Narrow"/>
          <w:sz w:val="18"/>
        </w:rPr>
        <w:t>Calpine Corporation</w:t>
      </w:r>
    </w:p>
    <w:p>
      <w:pPr>
        <w:pStyle w:val="Normal"/>
        <w:bidi w:val="0"/>
        <w:jc w:val="both"/>
        <w:rPr>
          <w:rFonts w:ascii="Arial Narrow" w:hAnsi="Arial Narrow"/>
          <w:sz w:val="18"/>
        </w:rPr>
      </w:pPr>
      <w:r>
        <w:rPr>
          <w:rFonts w:ascii="Arial Narrow" w:hAnsi="Arial Narrow"/>
          <w:sz w:val="18"/>
        </w:rPr>
        <w:t>50 West Fernando Street</w:t>
      </w:r>
    </w:p>
    <w:p>
      <w:pPr>
        <w:pStyle w:val="Normal"/>
        <w:bidi w:val="0"/>
        <w:jc w:val="both"/>
        <w:rPr>
          <w:rFonts w:ascii="Arial Narrow" w:hAnsi="Arial Narrow"/>
          <w:sz w:val="18"/>
        </w:rPr>
      </w:pPr>
      <w:r>
        <w:rPr>
          <w:rFonts w:ascii="Arial Narrow" w:hAnsi="Arial Narrow"/>
          <w:sz w:val="18"/>
        </w:rPr>
        <w:t>San    Jose, California 95113</w:t>
      </w:r>
    </w:p>
    <w:p>
      <w:pPr>
        <w:pStyle w:val="Normal"/>
        <w:bidi w:val="0"/>
        <w:jc w:val="center"/>
        <w:rPr>
          <w:rFonts w:ascii="Arial Narrow" w:hAnsi="Arial Narrow"/>
          <w:sz w:val="18"/>
        </w:rPr>
      </w:pPr>
      <w:r>
        <w:rPr>
          <w:rFonts w:ascii="Arial Narrow" w:hAnsi="Arial Narrow"/>
          <w:sz w:val="18"/>
        </w:rPr>
      </w:r>
    </w:p>
    <w:p>
      <w:pPr>
        <w:pStyle w:val="Normal"/>
        <w:bidi w:val="0"/>
        <w:jc w:val="center"/>
        <w:rPr>
          <w:rFonts w:ascii="Arial Narrow" w:hAnsi="Arial Narrow"/>
          <w:caps/>
          <w:sz w:val="18"/>
        </w:rPr>
      </w:pPr>
      <w:r>
        <w:rPr>
          <w:rFonts w:ascii="Arial Narrow" w:hAnsi="Arial Narrow"/>
          <w:caps/>
          <w:sz w:val="18"/>
        </w:rPr>
        <w:t>Transaction No. 1</w:t>
      </w:r>
    </w:p>
    <w:p>
      <w:pPr>
        <w:pStyle w:val="Normal"/>
        <w:bidi w:val="0"/>
        <w:jc w:val="center"/>
        <w:rPr>
          <w:rFonts w:ascii="Arial Narrow" w:hAnsi="Arial Narrow"/>
          <w:sz w:val="18"/>
          <w:u w:val="single"/>
        </w:rPr>
      </w:pPr>
      <w:r>
        <w:rPr>
          <w:rFonts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t>This Transaction Agreement shall form and effectuate the current proposal between Calpine Energy Services, L.P. ("</w:t>
      </w:r>
      <w:r>
        <w:rPr>
          <w:rFonts w:ascii="Arial Narrow" w:hAnsi="Arial Narrow"/>
          <w:sz w:val="18"/>
          <w:u w:val="single"/>
        </w:rPr>
        <w:t>Customer</w:t>
      </w:r>
      <w:r>
        <w:rPr>
          <w:rFonts w:ascii="Arial Narrow" w:hAnsi="Arial Narrow"/>
          <w:sz w:val="18"/>
        </w:rPr>
        <w:t>") and Enron North America Corp. ("</w:t>
      </w:r>
      <w:r>
        <w:rPr>
          <w:rFonts w:ascii="Arial Narrow" w:hAnsi="Arial Narrow"/>
          <w:sz w:val="18"/>
          <w:u w:val="single"/>
        </w:rPr>
        <w:t>Company</w:t>
      </w:r>
      <w:r>
        <w:rPr>
          <w:rFonts w:ascii="Arial Narrow" w:hAnsi="Arial Narrow"/>
          <w:sz w:val="18"/>
        </w:rPr>
        <w:t>") regarding the firm purchase and sale of Gas under the following terms and conditions.    Customer to purchase and receive (Buyer) and Company to sell and deliver (Seller).    Transactio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4320" w:start="4320"/>
        <w:jc w:val="both"/>
        <w:rPr>
          <w:rFonts w:ascii="Arial Narrow" w:hAnsi="Arial Narrow"/>
          <w:sz w:val="18"/>
        </w:rPr>
      </w:pPr>
      <w:r>
        <w:rPr>
          <w:rFonts w:ascii="Arial Narrow" w:hAnsi="Arial Narrow"/>
          <w:sz w:val="18"/>
        </w:rPr>
        <w:t>DAILY CONTRACT QUANTITY (DCQ):</w:t>
        <w:tab/>
        <w:t>37,500 MMBtu per Day</w:t>
      </w:r>
    </w:p>
    <w:p>
      <w:pPr>
        <w:pStyle w:val="Normal"/>
        <w:tabs>
          <w:tab w:val="clear" w:pos="720"/>
          <w:tab w:val="left" w:pos="8640" w:leader="none"/>
        </w:tabs>
        <w:bidi w:val="0"/>
        <w:ind w:hanging="4320" w:start="4320"/>
        <w:jc w:val="both"/>
        <w:rPr>
          <w:rFonts w:ascii="Arial Narrow" w:hAnsi="Arial Narrow"/>
          <w:sz w:val="18"/>
          <w:u w:val="single"/>
        </w:rPr>
      </w:pPr>
      <w:r>
        <w:rPr>
          <w:rFonts w:ascii="Arial Narrow" w:hAnsi="Arial Narrow"/>
          <w:sz w:val="18"/>
        </w:rPr>
        <w:t>MAXDQ (if applicable):</w:t>
        <w:tab/>
        <w:t>N/A</w:t>
      </w:r>
    </w:p>
    <w:p>
      <w:pPr>
        <w:pStyle w:val="Normal"/>
        <w:tabs>
          <w:tab w:val="clear" w:pos="720"/>
          <w:tab w:val="left" w:pos="8640" w:leader="none"/>
        </w:tabs>
        <w:bidi w:val="0"/>
        <w:ind w:hanging="4320" w:start="4320"/>
        <w:jc w:val="both"/>
        <w:rPr>
          <w:rFonts w:ascii="Arial Narrow" w:hAnsi="Arial Narrow"/>
          <w:sz w:val="18"/>
        </w:rPr>
      </w:pPr>
      <w:r>
        <w:rPr>
          <w:rFonts w:ascii="Arial Narrow" w:hAnsi="Arial Narrow"/>
          <w:sz w:val="18"/>
        </w:rPr>
        <w:t>MINMQ (if applicable):</w:t>
        <w:tab/>
        <w:t>N/A</w:t>
      </w:r>
    </w:p>
    <w:p>
      <w:pPr>
        <w:pStyle w:val="Normal"/>
        <w:tabs>
          <w:tab w:val="clear" w:pos="720"/>
          <w:tab w:val="left" w:pos="8640" w:leader="none"/>
        </w:tabs>
        <w:bidi w:val="0"/>
        <w:ind w:hanging="4320" w:start="4320"/>
        <w:jc w:val="both"/>
        <w:rPr>
          <w:rFonts w:ascii="Arial Narrow" w:hAnsi="Arial Narrow"/>
          <w:sz w:val="18"/>
        </w:rPr>
      </w:pPr>
      <w:r>
        <w:rPr>
          <w:rFonts w:ascii="Arial Narrow" w:hAnsi="Arial Narrow"/>
          <w:sz w:val="18"/>
        </w:rPr>
        <w:t>MINDQ (if applicable):</w:t>
        <w:tab/>
        <w:t>N/A</w:t>
      </w:r>
    </w:p>
    <w:p>
      <w:pPr>
        <w:pStyle w:val="Normal"/>
        <w:tabs>
          <w:tab w:val="clear" w:pos="720"/>
          <w:tab w:val="left" w:pos="8640" w:leader="none"/>
        </w:tabs>
        <w:bidi w:val="0"/>
        <w:ind w:hanging="4320" w:start="4320"/>
        <w:jc w:val="both"/>
        <w:rPr>
          <w:rFonts w:ascii="Arial Narrow" w:hAnsi="Arial Narrow"/>
          <w:sz w:val="18"/>
          <w:u w:val="single"/>
        </w:rPr>
      </w:pPr>
      <w:r>
        <w:rPr>
          <w:rFonts w:ascii="Arial Narrow" w:hAnsi="Arial Narrow"/>
          <w:sz w:val="18"/>
        </w:rPr>
        <w:t>DELIVERY POINT(S):</w:t>
        <w:tab/>
        <w:t>The interconnect between Pacific Gas Transmission Company (“</w:t>
      </w:r>
      <w:r>
        <w:rPr>
          <w:rFonts w:ascii="Arial Narrow" w:hAnsi="Arial Narrow"/>
          <w:sz w:val="18"/>
          <w:u w:val="single"/>
        </w:rPr>
        <w:t>PGT</w:t>
      </w:r>
      <w:r>
        <w:rPr>
          <w:rFonts w:ascii="Arial Narrow" w:hAnsi="Arial Narrow"/>
          <w:sz w:val="18"/>
        </w:rPr>
        <w:t>”) and Pacific Gas &amp; Electric Company (“PG&amp;E”) located near Malin, Oregon (“</w:t>
      </w:r>
      <w:r>
        <w:rPr>
          <w:rFonts w:ascii="Arial Narrow" w:hAnsi="Arial Narrow"/>
          <w:sz w:val="18"/>
          <w:u w:val="single"/>
        </w:rPr>
        <w:t>Malin</w:t>
      </w:r>
      <w:r>
        <w:rPr>
          <w:rFonts w:ascii="Arial Narrow" w:hAnsi="Arial Narrow"/>
          <w:sz w:val="18"/>
        </w:rPr>
        <w:t>”).    Alternatively, Customer may request delivery of the Gas hereunder to all other points available on the PGT pipeline system, including Stanfield, Oregon, as available in accordance with the terms and conditions of (i) Company’s transportation agreement(s) with PGT and (ii) PGT’s FERC gas tariff (an “</w:t>
      </w:r>
      <w:r>
        <w:rPr>
          <w:rFonts w:ascii="Arial Narrow" w:hAnsi="Arial Narrow"/>
          <w:sz w:val="18"/>
          <w:u w:val="single"/>
        </w:rPr>
        <w:t>Alternative Delivery Point</w:t>
      </w:r>
      <w:r>
        <w:rPr>
          <w:rFonts w:ascii="Arial Narrow" w:hAnsi="Arial Narrow"/>
          <w:sz w:val="18"/>
        </w:rPr>
        <w:t xml:space="preserve">”).    </w:t>
      </w:r>
    </w:p>
    <w:p>
      <w:pPr>
        <w:pStyle w:val="BodyTextIndent"/>
        <w:tabs>
          <w:tab w:val="clear" w:pos="2880"/>
          <w:tab w:val="left" w:pos="5580" w:leader="none"/>
        </w:tabs>
        <w:bidi w:val="0"/>
        <w:ind w:hanging="4320" w:start="4320"/>
        <w:rPr/>
      </w:pPr>
      <w:r>
        <w:rPr/>
        <w:t>CONTRACT PRICE (per MMBtu):</w:t>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tabs>
          <w:tab w:val="clear" w:pos="2880"/>
          <w:tab w:val="left" w:pos="4500" w:leader="none"/>
        </w:tabs>
        <w:bidi w:val="0"/>
        <w:ind w:hanging="5580" w:start="4680"/>
        <w:rPr>
          <w:sz w:val="16"/>
        </w:rPr>
      </w:pPr>
      <w:r>
        <w:rPr/>
        <w:tab/>
        <w:tab/>
      </w:r>
      <w:r>
        <w:rPr>
          <w:sz w:val="16"/>
        </w:rPr>
        <w:t>May 1, 2001 thru October 31, 2001 – less $0.1375 per MMBtu</w:t>
      </w:r>
    </w:p>
    <w:p>
      <w:pPr>
        <w:pStyle w:val="BodyTextIndent"/>
        <w:tabs>
          <w:tab w:val="clear" w:pos="2880"/>
          <w:tab w:val="left" w:pos="4680" w:leader="none"/>
        </w:tabs>
        <w:bidi w:val="0"/>
        <w:ind w:hanging="4500" w:start="4680"/>
        <w:rPr>
          <w:sz w:val="16"/>
        </w:rPr>
      </w:pPr>
      <w:r>
        <w:rPr>
          <w:sz w:val="16"/>
        </w:rPr>
        <w:tab/>
        <w:t>November 1, 2001 thru October 31, 2003 – plus $0.03 per MMBtu</w:t>
      </w:r>
    </w:p>
    <w:p>
      <w:pPr>
        <w:pStyle w:val="BodyTextIndent"/>
        <w:tabs>
          <w:tab w:val="clear" w:pos="2880"/>
          <w:tab w:val="left" w:pos="4680" w:leader="none"/>
        </w:tabs>
        <w:bidi w:val="0"/>
        <w:ind w:hanging="4500" w:start="4680"/>
        <w:rPr>
          <w:sz w:val="16"/>
        </w:rPr>
      </w:pPr>
      <w:r>
        <w:rPr>
          <w:sz w:val="16"/>
        </w:rPr>
        <w:tab/>
        <w:t>November 1, 2003 thru October 31, 2008 – plus $0.005 per MMBtu</w:t>
      </w:r>
    </w:p>
    <w:p>
      <w:pPr>
        <w:pStyle w:val="BodyTextIndent"/>
        <w:tabs>
          <w:tab w:val="clear" w:pos="2880"/>
          <w:tab w:val="left" w:pos="5580" w:leader="none"/>
        </w:tabs>
        <w:bidi w:val="0"/>
        <w:ind w:hanging="5580" w:start="5760"/>
        <w:rPr/>
      </w:pPr>
      <w:r>
        <w:rPr/>
        <w:tab/>
      </w:r>
    </w:p>
    <w:p>
      <w:pPr>
        <w:pStyle w:val="Normal"/>
        <w:tabs>
          <w:tab w:val="clear" w:pos="720"/>
          <w:tab w:val="left" w:pos="4320" w:leader="none"/>
        </w:tabs>
        <w:bidi w:val="0"/>
        <w:ind w:hanging="4320" w:start="4320"/>
        <w:jc w:val="both"/>
        <w:rPr>
          <w:rFonts w:ascii="Arial Narrow" w:hAnsi="Arial Narrow"/>
          <w:sz w:val="18"/>
        </w:rPr>
      </w:pPr>
      <w:r>
        <w:rPr>
          <w:rFonts w:ascii="Times New Roman" w:hAnsi="Times New Roman"/>
        </w:rPr>
        <w:tab/>
      </w:r>
      <w:r>
        <w:rPr>
          <w:rFonts w:ascii="Arial Narrow" w:hAnsi="Arial Narrow"/>
          <w:sz w:val="18"/>
        </w:rPr>
        <w:t>For all quantities of Gas delivered to an Alternative Delivery Point(s) as selected by Customer, the Contract Price hereunder shall be adjusted to reflect the difference between 100% of the applicable variable transportation charges, as set forth in PGT’s tariff, for contract path between Kingsgate and Malin, and the actual variable transportation charges 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bidi w:val="0"/>
        <w:ind w:hanging="4320" w:start="4320"/>
        <w:jc w:val="both"/>
        <w:rPr>
          <w:rFonts w:ascii="Arial Narrow" w:hAnsi="Arial Narrow"/>
          <w:sz w:val="18"/>
          <w:u w:val="single"/>
        </w:rPr>
      </w:pPr>
      <w:r>
        <w:rPr>
          <w:rFonts w:ascii="Arial Narrow" w:hAnsi="Arial Narrow"/>
          <w:sz w:val="18"/>
        </w:rPr>
        <w:t xml:space="preserve">PERIOD OF DELIVERY:    </w:t>
        <w:tab/>
        <w:t>May 1, 2001 through October 31, 2008</w:t>
      </w:r>
    </w:p>
    <w:p>
      <w:pPr>
        <w:pStyle w:val="Normal"/>
        <w:tabs>
          <w:tab w:val="clear" w:pos="720"/>
          <w:tab w:val="left" w:pos="8640" w:leader="none"/>
        </w:tabs>
        <w:bidi w:val="0"/>
        <w:ind w:hanging="4320" w:start="4320"/>
        <w:jc w:val="both"/>
        <w:rPr>
          <w:rFonts w:ascii="Arial Narrow" w:hAnsi="Arial Narrow"/>
          <w:sz w:val="18"/>
        </w:rPr>
      </w:pPr>
      <w:r>
        <w:rPr>
          <w:rFonts w:ascii="Arial Narrow" w:hAnsi="Arial Narrow"/>
          <w:sz w:val="18"/>
        </w:rPr>
        <w:t>SPOT PRICE LOCATION:</w:t>
        <w:tab/>
        <w:t>Malin</w:t>
      </w:r>
    </w:p>
    <w:p>
      <w:pPr>
        <w:pStyle w:val="Normal"/>
        <w:tabs>
          <w:tab w:val="clear" w:pos="720"/>
          <w:tab w:val="left" w:pos="8640" w:leader="none"/>
        </w:tabs>
        <w:bidi w:val="0"/>
        <w:ind w:hanging="4320" w:start="4320"/>
        <w:jc w:val="both"/>
        <w:rPr>
          <w:rFonts w:ascii="Arial Narrow" w:hAnsi="Arial Narrow"/>
          <w:sz w:val="18"/>
        </w:rPr>
      </w:pPr>
      <w:r>
        <w:rPr>
          <w:rFonts w:ascii="Arial Narrow" w:hAnsi="Arial Narrow"/>
          <w:sz w:val="18"/>
        </w:rPr>
        <w:t>OTHER:</w:t>
        <w:tab/>
      </w:r>
      <w:r>
        <w:rPr>
          <w:rFonts w:ascii="Arial Narrow" w:hAnsi="Arial Narrow"/>
          <w:sz w:val="18"/>
          <w:u w:val="single"/>
        </w:rPr>
        <w:t>Imbalance:</w:t>
      </w:r>
      <w:r>
        <w:rPr>
          <w:rFonts w:ascii="Arial Narrow" w:hAnsi="Arial Narrow"/>
          <w:sz w:val="18"/>
        </w:rPr>
        <w:t>    Customer shall be liable for and pay any imbalance penalties charged as a result of Customer’s overburn or underburn relative to the scheduled quantities hereunder.</w:t>
      </w:r>
    </w:p>
    <w:p>
      <w:pPr>
        <w:pStyle w:val="Normal"/>
        <w:tabs>
          <w:tab w:val="clear" w:pos="720"/>
          <w:tab w:val="left" w:pos="8640" w:leader="none"/>
        </w:tabs>
        <w:bidi w:val="0"/>
        <w:ind w:hanging="4320" w:start="4320"/>
        <w:jc w:val="both"/>
        <w:rPr>
          <w:rFonts w:ascii="Arial Narrow" w:hAnsi="Arial Narrow"/>
          <w:sz w:val="18"/>
        </w:rPr>
      </w:pPr>
      <w:r>
        <w:rPr>
          <w:rFonts w:ascii="Arial Narrow" w:hAnsi="Arial Narrow"/>
          <w:sz w:val="18"/>
        </w:rPr>
        <w:tab/>
      </w:r>
      <w:r>
        <w:rPr>
          <w:rFonts w:ascii="Arial Narrow" w:hAnsi="Arial Narrow"/>
          <w:sz w:val="18"/>
          <w:u w:val="single"/>
        </w:rPr>
        <w:t>Force Majeure</w:t>
      </w:r>
      <w:r>
        <w:rPr>
          <w:rFonts w:ascii="Arial Narrow" w:hAnsi="Arial Narrow"/>
          <w:sz w:val="18"/>
        </w:rPr>
        <w:t xml:space="preserve">:    Notwithstanding anything to the contrary contained in Article 5 of the ENFOLIO Master Firm Purchase/Sale Agreement in effect between Customer and Company, Company shall have the right to </w:t>
      </w:r>
      <w:r>
        <w:rPr>
          <w:rFonts w:ascii="Arial Narrow" w:hAnsi="Arial Narrow"/>
          <w:b/>
          <w:sz w:val="18"/>
        </w:rPr>
        <w:t>[declare Force Majeure hereunder and]</w:t>
      </w:r>
      <w:r>
        <w:rPr>
          <w:rFonts w:ascii="Arial Narrow" w:hAnsi="Arial Narrow"/>
          <w:sz w:val="18"/>
        </w:rPr>
        <w:t xml:space="preserve"> curtail or interrupt delivery of gas to Customer </w:t>
      </w:r>
      <w:r>
        <w:rPr>
          <w:rFonts w:ascii="Arial Narrow" w:hAnsi="Arial Narrow"/>
          <w:strike/>
          <w:sz w:val="18"/>
        </w:rPr>
        <w:t>{hereunder due to an event of Force Majeure on Company’s applicable transportation on}</w:t>
      </w:r>
      <w:r>
        <w:rPr>
          <w:rFonts w:ascii="Arial Narrow" w:hAnsi="Arial Narrow"/>
          <w:sz w:val="18"/>
        </w:rPr>
        <w:t xml:space="preserve"> </w:t>
      </w:r>
      <w:r>
        <w:rPr>
          <w:rFonts w:ascii="Arial Narrow" w:hAnsi="Arial Narrow"/>
          <w:b/>
          <w:sz w:val="18"/>
        </w:rPr>
        <w:t>[in the event that]</w:t>
      </w:r>
      <w:r>
        <w:rPr>
          <w:rFonts w:ascii="Arial Narrow" w:hAnsi="Arial Narrow"/>
          <w:sz w:val="18"/>
        </w:rPr>
        <w:t xml:space="preserve"> PGT, Alberta Natural Gas Company, Ltd. </w:t>
      </w:r>
      <w:r>
        <w:rPr>
          <w:rFonts w:ascii="Arial Narrow" w:hAnsi="Arial Narrow"/>
          <w:b/>
          <w:sz w:val="18"/>
        </w:rPr>
        <w:t>[(“ANG”)]</w:t>
      </w:r>
      <w:r>
        <w:rPr>
          <w:rFonts w:ascii="Arial Narrow" w:hAnsi="Arial Narrow"/>
          <w:sz w:val="18"/>
        </w:rPr>
        <w:t xml:space="preserve">, or NOVA Gas Transmission Ltd </w:t>
      </w:r>
      <w:r>
        <w:rPr>
          <w:rFonts w:ascii="Arial Narrow" w:hAnsi="Arial Narrow"/>
          <w:strike/>
          <w:sz w:val="18"/>
        </w:rPr>
        <w:t>{and}</w:t>
      </w:r>
      <w:r>
        <w:rPr>
          <w:rFonts w:ascii="Arial Narrow" w:hAnsi="Arial Narrow"/>
          <w:b/>
          <w:sz w:val="18"/>
        </w:rPr>
        <w:t>[(“NOVA”) curtail or interrupt the Company’s applicable transportation service in accordance the applicable PGT, ANG, or NOVA gas tariff, during the entire continuation of such interruption or curtailment by PGT, ANG, or NOVA.]</w:t>
      </w:r>
      <w:r>
        <w:rPr>
          <w:rFonts w:ascii="Arial Narrow" w:hAnsi="Arial Narrow"/>
          <w:sz w:val="18"/>
        </w:rPr>
        <w:t xml:space="preserve">    Customer shall have the right to curtail or interrupt receipt of gas hereunder due to an event of Force Majeure concerning the </w:t>
      </w:r>
      <w:r>
        <w:rPr>
          <w:rFonts w:ascii="Arial Narrow" w:hAnsi="Arial Narrow"/>
          <w:b/>
          <w:sz w:val="18"/>
        </w:rPr>
        <w:t>[interconnect between]</w:t>
      </w:r>
      <w:r>
        <w:rPr>
          <w:rFonts w:ascii="Arial Narrow" w:hAnsi="Arial Narrow"/>
          <w:sz w:val="18"/>
        </w:rPr>
        <w:t xml:space="preserve"> PGT and PG&amp;E facilities at Malin, Oregon</w:t>
      </w:r>
      <w:r>
        <w:rPr>
          <w:rFonts w:ascii="Arial Narrow" w:hAnsi="Arial Narrow"/>
          <w:b/>
          <w:sz w:val="18"/>
        </w:rPr>
        <w:t>[, during the entire continuation of such Force Majeure]</w:t>
      </w:r>
      <w:r>
        <w:rPr>
          <w:rFonts w:ascii="Arial Narrow" w:hAnsi="Arial Narrow"/>
          <w:sz w:val="18"/>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bidi w:val="0"/>
        <w:jc w:val="start"/>
        <w:rPr>
          <w:rFonts w:ascii="Times New Roman" w:hAnsi="Times New Roman"/>
        </w:rPr>
      </w:pPr>
      <w:r>
        <w:rPr>
          <w:rFonts w:ascii="Times New Roman" w:hAnsi="Times New Roman"/>
        </w:rPr>
      </w:r>
    </w:p>
    <w:tbl>
      <w:tblPr>
        <w:tblW w:w="9558" w:type="dxa"/>
        <w:jc w:val="start"/>
        <w:tblInd w:w="0" w:type="dxa"/>
        <w:tblLayout w:type="fixed"/>
        <w:tblCellMar>
          <w:top w:w="0" w:type="dxa"/>
          <w:start w:w="108" w:type="dxa"/>
          <w:bottom w:w="0" w:type="dxa"/>
          <w:end w:w="108" w:type="dxa"/>
        </w:tblCellMar>
      </w:tblPr>
      <w:tblGrid>
        <w:gridCol w:w="4697"/>
        <w:gridCol w:w="4860"/>
      </w:tblGrid>
      <w:tr>
        <w:trPr/>
        <w:tc>
          <w:tcPr>
            <w:tcW w:w="4697" w:type="dxa"/>
            <w:tcBorders/>
          </w:tcPr>
          <w:p>
            <w:pPr>
              <w:pStyle w:val="Normal"/>
              <w:tabs>
                <w:tab w:val="clear" w:pos="720"/>
                <w:tab w:val="left" w:pos="270" w:leader="none"/>
                <w:tab w:val="left" w:pos="4320" w:leader="none"/>
              </w:tabs>
              <w:bidi w:val="0"/>
              <w:jc w:val="both"/>
              <w:rPr/>
            </w:pPr>
            <w:r>
              <w:rPr>
                <w:rFonts w:ascii="Arial Narrow" w:hAnsi="Arial Narrow"/>
                <w:sz w:val="19"/>
              </w:rPr>
              <w:t>ENRON NORTH AMERICA CORP.</w:t>
            </w:r>
          </w:p>
        </w:tc>
        <w:tc>
          <w:tcPr>
            <w:tcW w:w="4860" w:type="dxa"/>
            <w:tcBorders/>
          </w:tcPr>
          <w:p>
            <w:pPr>
              <w:pStyle w:val="Normal"/>
              <w:tabs>
                <w:tab w:val="clear" w:pos="720"/>
                <w:tab w:val="left" w:pos="252" w:leader="none"/>
                <w:tab w:val="left" w:pos="4482" w:leader="none"/>
              </w:tabs>
              <w:bidi w:val="0"/>
              <w:jc w:val="both"/>
              <w:rPr/>
            </w:pPr>
            <w:r>
              <w:rPr>
                <w:rFonts w:ascii="Arial Narrow" w:hAnsi="Arial Narrow"/>
                <w:sz w:val="19"/>
              </w:rPr>
              <w:t>CALPINE ENERGY SERVICES, L.P.</w:t>
            </w:r>
          </w:p>
        </w:tc>
      </w:tr>
      <w:tr>
        <w:trPr/>
        <w:tc>
          <w:tcPr>
            <w:tcW w:w="4697" w:type="dxa"/>
            <w:tcBorders/>
          </w:tcPr>
          <w:p>
            <w:pPr>
              <w:pStyle w:val="Normal"/>
              <w:tabs>
                <w:tab w:val="clear" w:pos="720"/>
                <w:tab w:val="left" w:pos="270" w:leader="none"/>
                <w:tab w:val="left" w:pos="4320" w:leader="none"/>
              </w:tabs>
              <w:bidi w:val="0"/>
              <w:jc w:val="both"/>
              <w:rPr>
                <w:rFonts w:ascii="Arial Narrow" w:hAnsi="Arial Narrow"/>
                <w:sz w:val="19"/>
              </w:rPr>
            </w:pPr>
            <w:r>
              <w:rPr>
                <w:rFonts w:ascii="Arial Narrow" w:hAnsi="Arial Narrow"/>
                <w:sz w:val="19"/>
              </w:rPr>
            </w:r>
          </w:p>
        </w:tc>
        <w:tc>
          <w:tcPr>
            <w:tcW w:w="4860" w:type="dxa"/>
            <w:tcBorders/>
          </w:tcPr>
          <w:p>
            <w:pPr>
              <w:pStyle w:val="Normal"/>
              <w:tabs>
                <w:tab w:val="clear" w:pos="720"/>
                <w:tab w:val="left" w:pos="252" w:leader="none"/>
                <w:tab w:val="left" w:pos="4482" w:leader="none"/>
              </w:tabs>
              <w:bidi w:val="0"/>
              <w:jc w:val="both"/>
              <w:rPr/>
            </w:pPr>
            <w:r>
              <w:rPr>
                <w:rFonts w:ascii="Arial Narrow" w:hAnsi="Arial Narrow"/>
                <w:sz w:val="19"/>
              </w:rPr>
              <w:t xml:space="preserve">    </w:t>
            </w:r>
            <w:r>
              <w:rPr>
                <w:rFonts w:ascii="Arial Narrow" w:hAnsi="Arial Narrow"/>
                <w:sz w:val="19"/>
              </w:rPr>
              <w:t>By __________________________, its General Partner</w:t>
            </w:r>
          </w:p>
        </w:tc>
      </w:tr>
      <w:tr>
        <w:trPr/>
        <w:tc>
          <w:tcPr>
            <w:tcW w:w="4697" w:type="dxa"/>
            <w:tcBorders/>
          </w:tcPr>
          <w:p>
            <w:pPr>
              <w:pStyle w:val="Normal"/>
              <w:tabs>
                <w:tab w:val="clear" w:pos="720"/>
                <w:tab w:val="left" w:pos="270" w:leader="none"/>
                <w:tab w:val="left" w:pos="4320" w:leader="none"/>
              </w:tabs>
              <w:bidi w:val="0"/>
              <w:jc w:val="both"/>
              <w:rPr>
                <w:rFonts w:ascii="Arial Narrow" w:hAnsi="Arial Narrow"/>
                <w:sz w:val="19"/>
              </w:rPr>
            </w:pPr>
            <w:r>
              <w:rPr>
                <w:rFonts w:ascii="Arial Narrow" w:hAnsi="Arial Narrow"/>
                <w:sz w:val="19"/>
              </w:rPr>
            </w:r>
          </w:p>
        </w:tc>
        <w:tc>
          <w:tcPr>
            <w:tcW w:w="4860" w:type="dxa"/>
            <w:tcBorders/>
          </w:tcPr>
          <w:p>
            <w:pPr>
              <w:pStyle w:val="Normal"/>
              <w:tabs>
                <w:tab w:val="clear" w:pos="720"/>
                <w:tab w:val="left" w:pos="252" w:leader="none"/>
                <w:tab w:val="left" w:pos="4482" w:leader="none"/>
              </w:tabs>
              <w:bidi w:val="0"/>
              <w:jc w:val="both"/>
              <w:rPr>
                <w:rFonts w:ascii="Arial Narrow" w:hAnsi="Arial Narrow"/>
                <w:sz w:val="19"/>
              </w:rPr>
            </w:pPr>
            <w:r>
              <w:rPr>
                <w:rFonts w:ascii="Arial Narrow" w:hAnsi="Arial Narrow"/>
                <w:sz w:val="19"/>
              </w:rPr>
            </w:r>
          </w:p>
        </w:tc>
      </w:tr>
      <w:tr>
        <w:trPr/>
        <w:tc>
          <w:tcPr>
            <w:tcW w:w="4697" w:type="dxa"/>
            <w:tcBorders/>
          </w:tcPr>
          <w:p>
            <w:pPr>
              <w:pStyle w:val="Normal"/>
              <w:tabs>
                <w:tab w:val="clear" w:pos="720"/>
                <w:tab w:val="left" w:pos="270" w:leader="none"/>
                <w:tab w:val="left" w:pos="4320" w:leader="none"/>
              </w:tabs>
              <w:bidi w:val="0"/>
              <w:jc w:val="both"/>
              <w:rPr/>
            </w:pPr>
            <w:r>
              <w:rPr>
                <w:rFonts w:ascii="Arial Narrow" w:hAnsi="Arial Narrow"/>
                <w:sz w:val="19"/>
              </w:rPr>
              <w:t>By:</w:t>
              <w:tab/>
            </w:r>
            <w:r>
              <w:rPr>
                <w:rFonts w:ascii="Arial Narrow" w:hAnsi="Arial Narrow"/>
                <w:sz w:val="19"/>
                <w:u w:val="single"/>
              </w:rPr>
              <w:tab/>
            </w:r>
          </w:p>
        </w:tc>
        <w:tc>
          <w:tcPr>
            <w:tcW w:w="4860" w:type="dxa"/>
            <w:tcBorders/>
          </w:tcPr>
          <w:p>
            <w:pPr>
              <w:pStyle w:val="Normal"/>
              <w:tabs>
                <w:tab w:val="clear" w:pos="720"/>
                <w:tab w:val="left" w:pos="252" w:leader="none"/>
                <w:tab w:val="left" w:pos="4482" w:leader="none"/>
              </w:tabs>
              <w:bidi w:val="0"/>
              <w:jc w:val="both"/>
              <w:rPr/>
            </w:pPr>
            <w:r>
              <w:rPr>
                <w:rFonts w:ascii="Arial Narrow" w:hAnsi="Arial Narrow"/>
                <w:sz w:val="19"/>
              </w:rPr>
              <w:t>By:</w:t>
            </w:r>
            <w:r>
              <w:rPr>
                <w:rFonts w:ascii="Arial Narrow" w:hAnsi="Arial Narrow"/>
                <w:sz w:val="19"/>
                <w:u w:val="single"/>
              </w:rPr>
              <w:tab/>
            </w:r>
            <w:r>
              <w:rPr>
                <w:rFonts w:ascii="Arial Narrow" w:hAnsi="Arial Narrow"/>
                <w:sz w:val="19"/>
              </w:rPr>
              <w:t>_______________________________________________</w:t>
            </w:r>
          </w:p>
        </w:tc>
      </w:tr>
      <w:tr>
        <w:trPr/>
        <w:tc>
          <w:tcPr>
            <w:tcW w:w="4697" w:type="dxa"/>
            <w:tcBorders/>
          </w:tcPr>
          <w:p>
            <w:pPr>
              <w:pStyle w:val="Normal"/>
              <w:tabs>
                <w:tab w:val="clear" w:pos="720"/>
                <w:tab w:val="left" w:pos="270" w:leader="none"/>
                <w:tab w:val="left" w:pos="4320" w:leader="none"/>
              </w:tabs>
              <w:bidi w:val="0"/>
              <w:jc w:val="both"/>
              <w:rPr/>
            </w:pPr>
            <w:r>
              <w:rPr>
                <w:rFonts w:ascii="Arial Narrow" w:hAnsi="Arial Narrow"/>
                <w:sz w:val="19"/>
              </w:rPr>
              <w:tab/>
              <w:t>Name:</w:t>
            </w:r>
          </w:p>
        </w:tc>
        <w:tc>
          <w:tcPr>
            <w:tcW w:w="4860" w:type="dxa"/>
            <w:tcBorders/>
          </w:tcPr>
          <w:p>
            <w:pPr>
              <w:pStyle w:val="Normal"/>
              <w:tabs>
                <w:tab w:val="clear" w:pos="720"/>
                <w:tab w:val="left" w:pos="252" w:leader="none"/>
                <w:tab w:val="left" w:pos="4482" w:leader="none"/>
              </w:tabs>
              <w:bidi w:val="0"/>
              <w:jc w:val="both"/>
              <w:rPr/>
            </w:pPr>
            <w:r>
              <w:rPr>
                <w:rFonts w:ascii="Arial Narrow" w:hAnsi="Arial Narrow"/>
                <w:sz w:val="19"/>
              </w:rPr>
              <w:tab/>
              <w:t>Name:</w:t>
            </w:r>
          </w:p>
        </w:tc>
      </w:tr>
      <w:tr>
        <w:trPr/>
        <w:tc>
          <w:tcPr>
            <w:tcW w:w="4697" w:type="dxa"/>
            <w:tcBorders/>
          </w:tcPr>
          <w:p>
            <w:pPr>
              <w:pStyle w:val="Normal"/>
              <w:tabs>
                <w:tab w:val="clear" w:pos="720"/>
                <w:tab w:val="left" w:pos="270" w:leader="none"/>
                <w:tab w:val="left" w:pos="4320" w:leader="none"/>
              </w:tabs>
              <w:bidi w:val="0"/>
              <w:jc w:val="both"/>
              <w:rPr/>
            </w:pPr>
            <w:r>
              <w:rPr>
                <w:rFonts w:ascii="Arial Narrow" w:hAnsi="Arial Narrow"/>
                <w:sz w:val="19"/>
              </w:rPr>
              <w:tab/>
              <w:t>Title:</w:t>
            </w:r>
          </w:p>
        </w:tc>
        <w:tc>
          <w:tcPr>
            <w:tcW w:w="4860" w:type="dxa"/>
            <w:tcBorders/>
          </w:tcPr>
          <w:p>
            <w:pPr>
              <w:pStyle w:val="Normal"/>
              <w:tabs>
                <w:tab w:val="clear" w:pos="720"/>
                <w:tab w:val="left" w:pos="252" w:leader="none"/>
                <w:tab w:val="left" w:pos="4482" w:leader="none"/>
              </w:tabs>
              <w:bidi w:val="0"/>
              <w:jc w:val="both"/>
              <w:rPr/>
            </w:pPr>
            <w:r>
              <w:rPr>
                <w:rFonts w:ascii="Arial Narrow" w:hAnsi="Arial Narrow"/>
                <w:sz w:val="19"/>
              </w:rPr>
              <w:tab/>
              <w:t>Title:</w:t>
            </w:r>
          </w:p>
        </w:tc>
      </w:tr>
    </w:tbl>
    <w:p>
      <w:pPr>
        <w:pStyle w:val="Normal"/>
        <w:tabs>
          <w:tab w:val="clear" w:pos="720"/>
          <w:tab w:val="left" w:pos="4050" w:leader="none"/>
          <w:tab w:val="left" w:pos="5400" w:leader="none"/>
          <w:tab w:val="left" w:pos="9360" w:leader="none"/>
        </w:tabs>
        <w:bidi w:val="0"/>
        <w:jc w:val="start"/>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[1:21 1:21] Changed</w:t>
        <w:tab/>
        <w:t>"have the right    ...    interrupt delivery" to "have the right    ...    interrupt delivery"</w:t>
      </w:r>
    </w:p>
    <w:p>
      <w:pPr>
        <w:pStyle w:val="Normal"/>
        <w:bidi w:val="0"/>
        <w:spacing w:lineRule="atLeast" w:line="240"/>
        <w:jc w:val="start"/>
        <w:rPr>
          <w:rFonts w:ascii="Times New Roman" w:hAnsi="Times New Roman"/>
        </w:rPr>
      </w:pPr>
      <w:r>
        <w:rPr>
          <w:rFonts w:ascii="Times New Roman" w:hAnsi="Times New Roman"/>
        </w:rPr>
        <w:t>[1:21 1:21] Changed</w:t>
        <w:tab/>
        <w:t>"hereunder    ...    transportation on " to "in the event that "</w:t>
      </w:r>
    </w:p>
    <w:p>
      <w:pPr>
        <w:pStyle w:val="Normal"/>
        <w:bidi w:val="0"/>
        <w:spacing w:lineRule="atLeast" w:line="240"/>
        <w:jc w:val="start"/>
        <w:rPr>
          <w:rFonts w:ascii="Times New Roman" w:hAnsi="Times New Roman"/>
        </w:rPr>
      </w:pPr>
      <w:r>
        <w:rPr>
          <w:rFonts w:ascii="Times New Roman" w:hAnsi="Times New Roman"/>
        </w:rPr>
        <w:t>[1:21 1:21] Changed</w:t>
        <w:tab/>
        <w:t>"Ltd.," to "Ltd. (“ANG”),"</w:t>
      </w:r>
    </w:p>
    <w:p>
      <w:pPr>
        <w:pStyle w:val="Normal"/>
        <w:bidi w:val="0"/>
        <w:spacing w:lineRule="atLeast" w:line="240"/>
        <w:jc w:val="start"/>
        <w:rPr>
          <w:rFonts w:ascii="Times New Roman" w:hAnsi="Times New Roman"/>
        </w:rPr>
      </w:pPr>
      <w:r>
        <w:rPr>
          <w:rFonts w:ascii="Times New Roman" w:hAnsi="Times New Roman"/>
        </w:rPr>
        <w:t>[1:21 1:21] Changed</w:t>
        <w:tab/>
        <w:t>"Ltd and Customer" to "Ltd (“NOVA”)    ...    NOVA. Customer"</w:t>
      </w:r>
    </w:p>
    <w:p>
      <w:pPr>
        <w:pStyle w:val="Normal"/>
        <w:bidi w:val="0"/>
        <w:spacing w:lineRule="atLeast" w:line="240"/>
        <w:jc w:val="start"/>
        <w:rPr>
          <w:rFonts w:ascii="Times New Roman" w:hAnsi="Times New Roman"/>
        </w:rPr>
      </w:pPr>
      <w:r>
        <w:rPr>
          <w:rFonts w:ascii="Times New Roman" w:hAnsi="Times New Roman"/>
        </w:rPr>
        <w:t>[1:21 1:21] Changed</w:t>
        <w:tab/>
        <w:t>"the PGT" to "the interconnect between PGT"</w:t>
      </w:r>
    </w:p>
    <w:p>
      <w:pPr>
        <w:pStyle w:val="Normal"/>
        <w:bidi w:val="0"/>
        <w:spacing w:lineRule="atLeast" w:line="240"/>
        <w:jc w:val="start"/>
        <w:rPr>
          <w:rFonts w:ascii="Times New Roman" w:hAnsi="Times New Roman"/>
        </w:rPr>
      </w:pPr>
      <w:r>
        <w:rPr>
          <w:rFonts w:ascii="Times New Roman" w:hAnsi="Times New Roman"/>
        </w:rPr>
        <w:t>[1:21 1:21] Changed</w:t>
        <w:tab/>
        <w:t>"Oregon." to "Oregon, during    ...    Force Majeure."</w:t>
      </w:r>
    </w:p>
    <w:p>
      <w:pPr>
        <w:pStyle w:val="Normal"/>
        <w:bidi w:val="0"/>
        <w:spacing w:lineRule="atLeast" w:line="240"/>
        <w:jc w:val="start"/>
        <w:rPr>
          <w:rFonts w:ascii="Times New Roman" w:hAnsi="Times New Roman"/>
        </w:rPr>
      </w:pPr>
      <w:r>
        <w:rPr>
          <w:rFonts w:ascii="Times New Roman" w:hAnsi="Times New Roman"/>
        </w:rPr>
      </w:r>
    </w:p>
    <w:sectPr>
      <w:footerReference w:type="even" r:id="rId3"/>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Calpine_Confirm2_red_.doc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Calpine_Confirm2_red_.doc</w:t>
    </w:r>
    <w:r>
      <w:rPr>
        <w:sz w:val="16"/>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tabs>
        <w:tab w:val="clear" w:pos="720"/>
        <w:tab w:val="left" w:pos="2880" w:leader="none"/>
      </w:tabs>
      <w:ind w:hanging="2880" w:start="2880"/>
      <w:jc w:val="both"/>
    </w:pPr>
    <w:rPr>
      <w:rFonts w:ascii="Arial Narrow" w:hAnsi="Arial Narrow"/>
      <w:sz w:val="18"/>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Title">
    <w:name w:val="Title"/>
    <w:basedOn w:val="Heading"/>
    <w:qFormat/>
    <w:pPr/>
    <w:rPr>
      <w:rFonts w:ascii="Arial" w:hAnsi="Arial"/>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608</Words>
  <CharactersWithSpaces>3471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2000-12-27T10:31:00Z</dcterms:created>
  <dc:creator>gnemec</dc:creator>
  <dc:description/>
  <dc:language>en-CA</dc:language>
  <cp:lastModifiedBy/>
  <cp:lastPrinted>2000-12-27T09:19:00Z</cp:lastPrinted>
  <dcterms:modified xsi:type="dcterms:W3CDTF">2000-12-27T10:53:00Z</dcterms:modified>
  <cp:revision>7</cp:revision>
  <dc:subject/>
  <dc:title>TRANSACTION AGREEMENT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