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rPr>
      </w:pPr>
      <w:r>
        <w:rPr>
          <w:b/>
          <w:bCs/>
          <w:sz w:val="24"/>
        </w:rPr>
      </w:r>
    </w:p>
    <w:p>
      <w:pPr>
        <w:pStyle w:val="Normal"/>
        <w:jc w:val="center"/>
        <w:rPr>
          <w:b/>
          <w:bCs/>
          <w:sz w:val="24"/>
          <w:u w:val="single"/>
        </w:rPr>
      </w:pPr>
      <w:r>
        <w:rPr>
          <w:b/>
          <w:bCs/>
          <w:sz w:val="24"/>
          <w:u w:val="single"/>
        </w:rPr>
      </w:r>
    </w:p>
    <w:p>
      <w:pPr>
        <w:pStyle w:val="Normal"/>
        <w:jc w:val="both"/>
        <w:rPr>
          <w:b/>
          <w:bCs/>
          <w:sz w:val="22"/>
        </w:rPr>
      </w:pPr>
      <w:r>
        <w:rPr>
          <w:i/>
          <w:iCs/>
          <w:sz w:val="24"/>
        </w:rPr>
        <w:t>[This is a preliminary draft designed to begin discussions between the parties.  E</w:t>
      </w:r>
      <w:r>
        <w:rPr>
          <w:i/>
          <w:iCs/>
          <w:sz w:val="22"/>
        </w:rPr>
        <w:t>ach underlying master agreement between the parties must be reviewed to assess its appropriateness for inclusion in this arrangement.  A specific master agreement’s provisions with respect to events of default, netting, and/or closeout might need to be amended.  In addition, all security arrangements (letter of credit, guarantee) need to be reviewed and perhaps amended as applicable.]</w:t>
      </w:r>
    </w:p>
    <w:p>
      <w:pPr>
        <w:pStyle w:val="Normal"/>
        <w:jc w:val="both"/>
        <w:rPr>
          <w:b/>
          <w:bCs/>
          <w:sz w:val="22"/>
        </w:rPr>
      </w:pPr>
      <w:r>
        <w:rPr>
          <w:b/>
          <w:bCs/>
          <w:sz w:val="22"/>
        </w:rPr>
      </w:r>
    </w:p>
    <w:p>
      <w:pPr>
        <w:pStyle w:val="Normal"/>
        <w:jc w:val="both"/>
        <w:rPr>
          <w:sz w:val="22"/>
        </w:rPr>
      </w:pPr>
      <w:r>
        <w:rPr>
          <w:sz w:val="22"/>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is made and entered into effective as of April __, 2001 among Calpine Energy Services, L.P. (“CES”), Calpine Fuels Texas Corporation (“CFT”), Calpine Natural Gas (“CNG”) [list other Calpine affiliates?] (collectively, the “Counterparty Parties” and individually, a “Counterparty Party”), and Enron North America Corp. ("</w:t>
      </w:r>
      <w:r>
        <w:rPr>
          <w:sz w:val="22"/>
          <w:u w:val="single"/>
        </w:rPr>
        <w:t>ENA</w:t>
      </w:r>
      <w:r>
        <w:rPr>
          <w:sz w:val="22"/>
        </w:rPr>
        <w:t>"), Enron Power Marketing, Inc. ("</w:t>
      </w:r>
      <w:r>
        <w:rPr>
          <w:sz w:val="22"/>
          <w:u w:val="single"/>
        </w:rPr>
        <w:t>EPMI</w:t>
      </w:r>
      <w:r>
        <w:rPr>
          <w:sz w:val="22"/>
        </w:rPr>
        <w:t>") [list other Enron affiliates?] (collectively, the “Enron Parties” and individually, an “Enron Party”).</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CES have entered into that certain ISDA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CES have entered into that certain </w:t>
      </w:r>
      <w:r>
        <w:rPr>
          <w:sz w:val="24"/>
        </w:rPr>
        <w:t>Enfolio</w:t>
      </w:r>
      <w:r>
        <w:rPr>
          <w:sz w:val="24"/>
          <w:vertAlign w:val="superscript"/>
        </w:rPr>
        <w:t xml:space="preserve">® </w:t>
      </w:r>
      <w:r>
        <w:rPr>
          <w:sz w:val="22"/>
        </w:rPr>
        <w:t>Master Firm Purchase/Sale Agreement, dated as of December 1, 2000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CES have entered into that certain Master Energy Purchase and Sale Agreement, dated as of Deember 27, 1999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and the Physical Power Master Agreement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any Counterparty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Counterparty Party desires now to provide in this Agreement for its right to terminate, liquidate, net, setoff, and apply Collateral upon a Default by any Enron Party under any one or more of the Underlying Master Agreements as herein specified, including, without limitation, by permitting each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the Parties agree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Defined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jc w:val="both"/>
        <w:rPr>
          <w:sz w:val="22"/>
        </w:rPr>
      </w:pPr>
      <w:r>
        <w:rPr>
          <w:sz w:val="22"/>
        </w:rPr>
      </w:r>
    </w:p>
    <w:p>
      <w:pPr>
        <w:pStyle w:val="OmniPage2"/>
        <w:ind w:firstLine="720" w:end="0"/>
        <w:jc w:val="both"/>
        <w:rPr/>
      </w:pPr>
      <w:r>
        <w:rPr>
          <w:sz w:val="22"/>
        </w:rPr>
        <w:t>"</w:t>
      </w:r>
      <w:r>
        <w:rPr>
          <w:sz w:val="22"/>
          <w:u w:val="single"/>
        </w:rPr>
        <w:t>Code</w:t>
      </w:r>
      <w:r>
        <w:rPr>
          <w:sz w:val="22"/>
        </w:rPr>
        <w:t>" means the United States Bankruptcy Code, 11 U.S.C. §§101</w:t>
        <w:noBreakHyphen/>
        <w:t>1330.</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Collateral</w:t>
      </w:r>
      <w:r>
        <w:rPr>
          <w:sz w:val="22"/>
        </w:rPr>
        <w:t>" has the meaning set forth in Section 6.</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Counterparty Affiliate</w:t>
      </w:r>
      <w:r>
        <w:rPr>
          <w:sz w:val="22"/>
        </w:rPr>
        <w:t>" means each Counterparty Party and each of its now and hereafter existing affiliates.</w:t>
      </w:r>
    </w:p>
    <w:p>
      <w:pPr>
        <w:pStyle w:val="OmniPage2"/>
        <w:ind w:hanging="15" w:start="735" w:end="0"/>
        <w:jc w:val="both"/>
        <w:rPr>
          <w:sz w:val="22"/>
        </w:rPr>
      </w:pPr>
      <w:r>
        <w:rPr>
          <w:sz w:val="22"/>
        </w:rPr>
      </w:r>
    </w:p>
    <w:p>
      <w:pPr>
        <w:pStyle w:val="OmniPage2"/>
        <w:ind w:firstLine="720" w:end="0"/>
        <w:jc w:val="both"/>
        <w:rPr/>
      </w:pPr>
      <w:r>
        <w:rPr>
          <w:sz w:val="22"/>
        </w:rPr>
        <w:t>“</w:t>
      </w:r>
      <w:r>
        <w:rPr>
          <w:sz w:val="22"/>
          <w:u w:val="single"/>
        </w:rPr>
        <w:t>Credit Rating</w:t>
      </w:r>
      <w:r>
        <w:rPr>
          <w:sz w:val="22"/>
        </w:rPr>
        <w:t>” means with respect to an entity, on any date of determination, the respective ratings then assigned to such entity’s unsecured, senior long-term debt or depository obligations (not supported by third-party credit enhancement) by S&amp;P, Moody’s or other specified rating agency or agencies as may be agreed to by the Parties.</w:t>
      </w:r>
    </w:p>
    <w:p>
      <w:pPr>
        <w:pStyle w:val="Normal"/>
        <w:jc w:val="both"/>
        <w:rPr>
          <w:sz w:val="22"/>
        </w:rPr>
      </w:pPr>
      <w:r>
        <w:rPr>
          <w:sz w:val="22"/>
        </w:rPr>
      </w:r>
    </w:p>
    <w:p>
      <w:pPr>
        <w:pStyle w:val="OmniPage2"/>
        <w:ind w:firstLine="720" w:end="0"/>
        <w:jc w:val="both"/>
        <w:rPr/>
      </w:pPr>
      <w:r>
        <w:rPr>
          <w:sz w:val="22"/>
        </w:rPr>
        <w:t>"</w:t>
      </w:r>
      <w:r>
        <w:rPr>
          <w:sz w:val="22"/>
          <w:u w:val="single"/>
        </w:rPr>
        <w:t>Debt</w:t>
      </w:r>
      <w:r>
        <w:rPr>
          <w:sz w:val="22"/>
        </w:rPr>
        <w:t>" has the meaning set forth in Section 101 of the Code.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an Enron Party when a Default has occurred with respect to any Enron Party ("</w:t>
      </w:r>
      <w:r>
        <w:rPr>
          <w:sz w:val="22"/>
          <w:u w:val="single"/>
        </w:rPr>
        <w:t>Defaulting Enron Party</w:t>
      </w:r>
      <w:r>
        <w:rPr>
          <w:sz w:val="22"/>
        </w:rPr>
        <w:t>), and a Counterparty Party when a Default has occurred with respect to any Counterparty Party ("</w:t>
      </w:r>
      <w:r>
        <w:rPr>
          <w:sz w:val="22"/>
          <w:u w:val="single"/>
        </w:rPr>
        <w:t>Defaulting Counterparty Party</w:t>
      </w:r>
      <w:r>
        <w:rPr>
          <w:sz w:val="22"/>
        </w:rPr>
        <w:t>").</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Exposure Threshold</w:t>
      </w:r>
      <w:r>
        <w:rPr>
          <w:sz w:val="22"/>
        </w:rPr>
        <w:t>" has the meaning set forth in Section 6.</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Final Settlement Amount</w:t>
      </w:r>
      <w:r>
        <w:rPr>
          <w:sz w:val="22"/>
        </w:rPr>
        <w:t>" has the meaning set forth in Section 4.</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Letters of Credit</w:t>
      </w:r>
      <w:r>
        <w:rPr>
          <w:sz w:val="22"/>
        </w:rPr>
        <w:t>" has the meaning set forth in Section 6.</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any Enron Party when a Default has occurred with respect to any Counterparty Party and any Counterparty Party when a Default has occurred with respect to any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any Counterparty Party owes to any Enron Party or any Enron Party owes to any Counterparty Party, whether financial or physical including, without limitation, payment and delivery obligations, each and every obligation or requirement under an Underlying Master Agreement, a Transaction, or hereunder, any Debt, any obligation arising under a guarantee that any Counterparty Party has provided to any Enron Party or that any Enron Party has provided to any Counterparty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unmatured, liquidated, unliquidated, or contingent.</w:t>
      </w:r>
    </w:p>
    <w:p>
      <w:pPr>
        <w:pStyle w:val="Normal"/>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w:t>
      </w:r>
      <w:r>
        <w:rPr>
          <w:sz w:val="22"/>
        </w:rPr>
        <w:t>list other party acronyms</w:t>
      </w:r>
      <w:r>
        <w:rPr>
          <w:b/>
          <w:bCs/>
          <w:sz w:val="22"/>
        </w:rPr>
        <w:t>]</w:t>
      </w:r>
      <w:r>
        <w:rPr>
          <w:sz w:val="22"/>
        </w:rPr>
        <w:t xml:space="preserve">, CES, CFT, CNG </w:t>
      </w:r>
      <w:r>
        <w:rPr>
          <w:b/>
          <w:bCs/>
          <w:sz w:val="22"/>
        </w:rPr>
        <w:t>[</w:t>
      </w:r>
      <w:r>
        <w:rPr>
          <w:sz w:val="22"/>
        </w:rPr>
        <w:t>list other party acronyms</w:t>
      </w:r>
      <w:r>
        <w:rPr>
          <w:b/>
          <w:bCs/>
          <w:sz w:val="22"/>
        </w:rPr>
        <w:t>]</w:t>
      </w:r>
      <w:r>
        <w:rPr>
          <w:sz w:val="22"/>
        </w:rPr>
        <w:t xml:space="preserve"> as the context indicates.  "</w:t>
      </w:r>
      <w:r>
        <w:rPr>
          <w:sz w:val="22"/>
          <w:u w:val="single"/>
        </w:rPr>
        <w:t>Enron Party</w:t>
      </w:r>
      <w:r>
        <w:rPr>
          <w:sz w:val="22"/>
        </w:rPr>
        <w:t xml:space="preserve">" refers to ENA, EPMI, </w:t>
      </w:r>
      <w:r>
        <w:rPr>
          <w:b/>
          <w:bCs/>
          <w:sz w:val="22"/>
        </w:rPr>
        <w:t>[</w:t>
      </w:r>
      <w:r>
        <w:rPr>
          <w:sz w:val="22"/>
        </w:rPr>
        <w:t>list other acronyms</w:t>
      </w:r>
      <w:r>
        <w:rPr>
          <w:b/>
          <w:bCs/>
          <w:sz w:val="22"/>
        </w:rPr>
        <w:t>]</w:t>
      </w:r>
      <w:r>
        <w:rPr>
          <w:sz w:val="22"/>
        </w:rPr>
        <w:t>, and "</w:t>
      </w:r>
      <w:r>
        <w:rPr>
          <w:sz w:val="22"/>
          <w:u w:val="single"/>
        </w:rPr>
        <w:t>Counterparty Party</w:t>
      </w:r>
      <w:r>
        <w:rPr>
          <w:sz w:val="22"/>
        </w:rPr>
        <w:t xml:space="preserve">" refers to CES, CFT, CNG </w:t>
      </w:r>
      <w:r>
        <w:rPr>
          <w:b/>
          <w:bCs/>
          <w:sz w:val="22"/>
        </w:rPr>
        <w:t>[</w:t>
      </w:r>
      <w:r>
        <w:rPr>
          <w:sz w:val="22"/>
        </w:rPr>
        <w:t>list other acronyms</w:t>
      </w:r>
      <w:r>
        <w:rPr>
          <w:b/>
          <w:bCs/>
          <w:sz w:val="22"/>
        </w:rPr>
        <w:t>]</w:t>
      </w:r>
      <w:r>
        <w:rPr>
          <w:sz w:val="22"/>
        </w:rPr>
        <w: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Payor Party</w:t>
      </w:r>
      <w:r>
        <w:rPr>
          <w:sz w:val="22"/>
        </w:rPr>
        <w:t>" has the meaning set forth in Section 6.</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in respect of any Underlying Master Agreement, the net amount that is due and payable by one Party to the other Party upon (i) such agreement having been accelerated, terminated, liquidated, or cancelled (including by way of automatic early termination), (ii) the resulting Obligations of each Party having been determined, and (iii) in accordance with the applicable Underlying Master Agreement, those Obligations having been netted and reduced by the exercise of rights to apply margin or other credit support delivered under or held in connection with such agreement.</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 xml:space="preserve">(a) Each of the occurrence of a (i) default, event of default, or other event on the basis of which a Party has the contractual right to accelerate, terminate (including automatic early termination), liquidate, or cancel Transactions, in each foregoing case under the Financial Master Agreement, or (ii) default, event of default, or other event on the basis of which a Party has the contractual right to accelerate, terminate (including automatic early termination), liquidate, or cancel Transactions, in each foregoing case under only Section 4.1 of the Physical Gas Master Agreement, [except as stated in </w:t>
      </w:r>
      <w:r>
        <w:rPr>
          <w:sz w:val="22"/>
          <w:u w:val="single"/>
        </w:rPr>
        <w:t>Schedule 1</w:t>
      </w:r>
      <w:r>
        <w:rPr>
          <w:sz w:val="22"/>
        </w:rPr>
        <w:t xml:space="preserve"> hereto attached and made a part hereof for all purposes – do we need to carve out the Article 3  “Deficiency Defaults”?], or (iii) default, event of default, or other event on the basis of which a Party has the contractual right to accelerate, terminate (including automatic early termination), liquidate, or cancel Transactions, in each foregoing case under only Section 4.2 of the Physical Power Master Agreement and none other, or </w:t>
      </w:r>
      <w:r>
        <w:rPr>
          <w:b/>
          <w:bCs/>
          <w:sz w:val="22"/>
        </w:rPr>
        <w:t>[</w:t>
      </w:r>
      <w:r>
        <w:rPr>
          <w:sz w:val="22"/>
        </w:rPr>
        <w:t>add other agreements</w:t>
      </w:r>
      <w:r>
        <w:rPr>
          <w:b/>
          <w:bCs/>
          <w:sz w:val="22"/>
        </w:rPr>
        <w:t>]</w:t>
      </w:r>
      <w:r>
        <w:rPr>
          <w:sz w:val="22"/>
        </w:rPr>
        <w:t>, or</w:t>
      </w:r>
      <w:r>
        <w:rPr>
          <w:b/>
          <w:bCs/>
          <w:sz w:val="22"/>
        </w:rPr>
        <w:t xml:space="preserve"> </w:t>
      </w:r>
      <w:r>
        <w:rPr>
          <w:sz w:val="22"/>
        </w:rPr>
        <w:t>(iv) representation or warranty made or repeated by a Party hereunder proves to have been incorrect or misleading in any material respect when made or repeated, or (v) Party is in violation of a covenant made hereunder, constitutes a "</w:t>
      </w:r>
      <w:r>
        <w:rPr>
          <w:sz w:val="22"/>
          <w:u w:val="single"/>
        </w:rPr>
        <w:t>Default</w:t>
      </w:r>
      <w:r>
        <w:rPr>
          <w:sz w:val="22"/>
        </w:rPr>
        <w:t>" under this Agreement without regard to any cure periods or conditions relating to the giving of notice or the passage of time provided for in any of the Underlying Master Agreements.</w:t>
      </w:r>
    </w:p>
    <w:p>
      <w:pPr>
        <w:pStyle w:val="OmniPage5"/>
        <w:ind w:firstLine="670" w:start="50" w:end="127"/>
        <w:jc w:val="both"/>
        <w:rPr>
          <w:sz w:val="22"/>
        </w:rPr>
      </w:pPr>
      <w:r>
        <w:rPr>
          <w:sz w:val="22"/>
        </w:rPr>
      </w:r>
    </w:p>
    <w:p>
      <w:pPr>
        <w:pStyle w:val="OmniPage5"/>
        <w:tabs>
          <w:tab w:val="left" w:pos="720" w:leader="none"/>
          <w:tab w:val="right" w:pos="9389" w:leader="none"/>
        </w:tabs>
        <w:ind w:start="52" w:end="0"/>
        <w:jc w:val="both"/>
        <w:rPr/>
      </w:pPr>
      <w:r>
        <w:rPr>
          <w:sz w:val="22"/>
        </w:rPr>
        <w:tab/>
        <w:t>(b) Upon the occurrence and continuance of a Default in respect of any Enron Party (Defaulting Enron Party), or any Counterparty Party (Defaulting Counterparty Party), each Counterparty Party or each Enron Party, respectively, may, without prior notice, (i) consider and declare each Enron Party, or each Counterparty Party, respectively, in default of any or all of the Underlying Master Agreements and any or all Transactions thereunder and accelerate, cancel, terminate, and liquidate, or otherwise close-out all Transactions therewith; (ii) with respect to a Defaulting Enron Party, setoff, net, and/or recoup each Counterparty Party's Obligations to any Enron Party against each Enron Party's Obligations to any Counterparty Party, or with respect to a Defaulting Counterparty Party, setoff, net, and/or recoup each Enron Party's Obligations to any Counterparty Party against each Counterparty Party's Obligations to any Enron Party; (iii) retain any Collateral; (iv) with respect to a Defaulting Enron Party, withhold payment and performance of any Counterparty Party's Obligations to any Enron Party to pay, secure, setoff against, net, and/or recoup any Enron Party's Obligations to any Counterparty Party, or with respect to a Defaulting Counterparty Party, withhold payment and performance of any Enron Party's Obligations to any Counterparty Party to pay, secure, setoff against, net, and/or recoup any Counterparty Party's Obligations to any Enron Party; (v) foreclose, collect, sell, or otherwise liquidate any Collateral in any  order and at any time, and apply the proceeds thereof to satisfy any Enron Party's Obligation to any Counterparty Party or any Counterparty Party's Obligation to any Enron Party, respectively; (vi) convert any Obligation from one currency into another currency as set forth in Section 5; and (vii)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sz w:val="22"/>
        </w:rPr>
      </w:pPr>
      <w:r>
        <w:rPr>
          <w:sz w:val="22"/>
        </w:rPr>
        <w:tab/>
        <w:t xml:space="preserve">(c)  The election of Non-defaulting Party to cause the Underlying Master Agreements Close-Out may be made without prior notification to Defaulting Party; provided, Non-defaulting Party will notify Defaulting Party of the occurrence of the Underlying Master Agreements Close-Out within 10 days of its election, a single written notice shall be effective as to any specific Default during the continuance of such Default, and any requirements under the Underlying Master Agreements for accelerating, terminating, liquidating, canceling, or otherwise closing-out Transactions thereunder shall be satisfied by such notice, and each of the Underlying Master Agreements is hereby amended accordingly.  The failure to notify Defaulting Party within such time shall not affect Non-defaulting Party's rights hereunder.  If a Default occurs and if Non-defaulting Party does not elect to cause the Underlying Master Agreements Close-Out, each Party shall retain its rights and obligations under each Underlying Master Agreement with respect thereto until the earlier of the date on which (i) such Default is cured or (ii) Non-defaulting Party elects to cause the Underlying Master Agreements Close-Out.        </w:t>
      </w:r>
    </w:p>
    <w:p>
      <w:pPr>
        <w:pStyle w:val="OmniPage5"/>
        <w:tabs>
          <w:tab w:val="left" w:pos="720" w:leader="none"/>
          <w:tab w:val="right" w:pos="9389" w:leader="none"/>
        </w:tabs>
        <w:ind w:start="52" w:end="0"/>
        <w:jc w:val="both"/>
        <w:rPr>
          <w:sz w:val="22"/>
        </w:rPr>
      </w:pPr>
      <w:r>
        <w:rPr>
          <w:sz w:val="22"/>
        </w:rPr>
      </w:r>
    </w:p>
    <w:p>
      <w:pPr>
        <w:pStyle w:val="OmniPage5"/>
        <w:ind w:firstLine="667" w:start="53" w:end="139"/>
        <w:jc w:val="both"/>
        <w:rPr/>
      </w:pPr>
      <w:r>
        <w:rPr>
          <w:b/>
          <w:sz w:val="22"/>
        </w:rPr>
        <w:t xml:space="preserve">3.  Setoff.  </w:t>
      </w:r>
      <w:r>
        <w:rPr>
          <w:sz w:val="22"/>
        </w:rPr>
        <w:t>Upon the occurrence and continuance of a Default in respect of any Enron Party (Defaulting Enron Party), each Counterparty Party may, without prior notice, setoff (including by set</w:t>
        <w:noBreakHyphen/>
        <w:t>off, offset, combination of accounts, retention, or withholding across or within each or all of the Underlying Master Agreements) any sum, amount, or Obligation (whether physically or financially settled, matured or unmatured) owed by any Counterparty Party to any Enron Party against any sum, amount, or Obligation (whether physically or financially settled, matured or unmatured) owed by any Enron Party to any Counterparty Party.  Upon the occurrence and continuance of a Default in respect of any Counterparty Party (Defaulting Counterparty Party), each Enron Party may, without prior notice, setoff (including by set</w:t>
        <w:noBreakHyphen/>
        <w:t xml:space="preserve">off, offset, combination of accounts, retention, or withholding across or within each or all of the Underlying Master Agreements) any sum, amount, or Obligation (whether physically or financially settled, matured or unmatured) owed by any Enron Party to any Counterparty Party against any sum, amount or Obligation (whether physically or financially settled, matured or unmatured) owed by any Counterparty Party to any Enron Party.  The foregoing is in addition to, and not in limitation of, any other right or remedy available to Non-defaulting Party (including any right of setoff, offset, combination of accounts, deduction, counterclaim, retention, or withholding), whether arising by agreement, including, without limitation, this Agreement and any of the Underlying Master Agreements and with particularity, rights therein with respect to any Enron Affiliate or any Counterparty Affiliate, applicable law, equity, or otherwise.  </w:t>
      </w:r>
    </w:p>
    <w:p>
      <w:pPr>
        <w:pStyle w:val="OmniPage5"/>
        <w:tabs>
          <w:tab w:val="left" w:pos="720" w:leader="none"/>
          <w:tab w:val="right" w:pos="9389" w:leader="none"/>
        </w:tabs>
        <w:ind w:start="52" w:end="0"/>
        <w:jc w:val="both"/>
        <w:rPr>
          <w:b/>
          <w:bCs/>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The Settlement Amount under each of the Underlying Master Agreements shall be determined in accordance with the terms of such agreement.  Upon such determination, all Settlement Amounts shall be netted and reduced by the exercise of rights to apply margin or other credit support delivered under or held in connection therewith and pursuant to all rights granted in this Agreement (the "</w:t>
      </w:r>
      <w:r>
        <w:rPr>
          <w:sz w:val="22"/>
          <w:u w:val="single"/>
        </w:rPr>
        <w:t>Final Settlement Amount</w:t>
      </w:r>
      <w:r>
        <w:rPr>
          <w:sz w:val="22"/>
        </w:rPr>
        <w:t>");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ten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Security Interest and Lien; Letters of Credit; Collateral Margin.  </w:t>
      </w:r>
      <w:r>
        <w:rPr>
          <w:sz w:val="22"/>
        </w:rPr>
        <w:t xml:space="preserve">(a)  Each Enron Party hereby grants to each Counterparty Party a continuing security interest in and assigns (notwithstanding any limitation in any of the Underlying Master Agreements) to each Counterparty Party (i) all securities, monies, or other property now or hereafter held or carried by any Counterparty Party in any accounts of any Enron Party or otherwise held or subject to the control or dominion of any Counterparty Party or any agent thereof (including any margin posted) under the Underlying Master Agreements, (ii) any rights any Enron Party has in any Obligations of any Counterparty Party, and (iii) all proceeds of or distributions on any of the foregoing. </w:t>
      </w:r>
    </w:p>
    <w:p>
      <w:pPr>
        <w:pStyle w:val="OmniPage5"/>
        <w:ind w:firstLine="698" w:start="80" w:end="109"/>
        <w:jc w:val="both"/>
        <w:rPr>
          <w:sz w:val="22"/>
        </w:rPr>
      </w:pPr>
      <w:r>
        <w:rPr>
          <w:sz w:val="22"/>
        </w:rPr>
      </w:r>
    </w:p>
    <w:p>
      <w:pPr>
        <w:pStyle w:val="OmniPage5"/>
        <w:ind w:firstLine="698" w:start="80" w:end="109"/>
        <w:jc w:val="both"/>
        <w:rPr>
          <w:sz w:val="22"/>
        </w:rPr>
      </w:pPr>
      <w:r>
        <w:rPr>
          <w:sz w:val="22"/>
        </w:rPr>
        <w:t>(b)  Each Counterparty Party hereby grants to each Enron Party a continuing security interest in and assigns (notwithstanding any limitation in any of the Underlying Master Agreements) to each Enron Party (i) all securities, monies, or other property now or hereafter held or carried by any Enron Party in any accounts of any Counterparty Party or otherwise held or subject to the control or dominion of any Enron Party or any agent thereof (including any margin posted) under the Underlying Master Agreements, (ii) any rights any Counterparty Party has in any Obligations of any Enron Party, and (iii) all proceeds of or distributions on any of the foregoing.</w:t>
      </w:r>
    </w:p>
    <w:p>
      <w:pPr>
        <w:pStyle w:val="Normal"/>
        <w:jc w:val="both"/>
        <w:rPr>
          <w:sz w:val="22"/>
        </w:rPr>
      </w:pPr>
      <w:r>
        <w:rPr>
          <w:sz w:val="22"/>
        </w:rPr>
      </w:r>
    </w:p>
    <w:p>
      <w:pPr>
        <w:pStyle w:val="Normal"/>
        <w:jc w:val="both"/>
        <w:rPr/>
      </w:pPr>
      <w:r>
        <w:rPr>
          <w:sz w:val="22"/>
        </w:rPr>
        <w:tab/>
        <w:t>All property set forth in the foregoing paragraphs (a) and (b), and all letters of credit posted in respect of any Obligations ("</w:t>
      </w:r>
      <w:r>
        <w:rPr>
          <w:sz w:val="22"/>
          <w:u w:val="single"/>
        </w:rPr>
        <w:t>Letters of Credit</w:t>
      </w:r>
      <w:r>
        <w:rPr>
          <w:sz w:val="22"/>
        </w:rPr>
        <w:t>"), are referred to herein as "</w:t>
      </w:r>
      <w:r>
        <w:rPr>
          <w:sz w:val="22"/>
          <w:u w:val="single"/>
        </w:rPr>
        <w:t>Collateral</w:t>
      </w:r>
      <w:r>
        <w:rPr>
          <w:sz w:val="22"/>
        </w:rPr>
        <w:t>."</w:t>
      </w:r>
    </w:p>
    <w:p>
      <w:pPr>
        <w:pStyle w:val="Normal"/>
        <w:jc w:val="both"/>
        <w:rPr>
          <w:sz w:val="22"/>
        </w:rPr>
      </w:pPr>
      <w:r>
        <w:rPr>
          <w:sz w:val="22"/>
        </w:rPr>
      </w:r>
    </w:p>
    <w:p>
      <w:pPr>
        <w:pStyle w:val="OmniPage5"/>
        <w:ind w:firstLine="620" w:start="100" w:end="100"/>
        <w:jc w:val="both"/>
        <w:rPr>
          <w:sz w:val="22"/>
        </w:rPr>
      </w:pPr>
      <w:r>
        <w:rPr>
          <w:sz w:val="22"/>
        </w:rPr>
        <w:t xml:space="preserve">(c) All Collateral pledged by any Party in connection with a particular Transaction or Transactions shall secure first that Party’s Obligations under that Transaction or those Transactions, and second that Party’s Obligations under all other Transactions.  In furtherance of the foregoing, the provisions of any Underlying Master Agreements more particularly describing any property that is Collateral are hereby incorporated by reference herein as if fully set forth herein.  </w:t>
      </w:r>
    </w:p>
    <w:p>
      <w:pPr>
        <w:pStyle w:val="OmniPage5"/>
        <w:ind w:firstLine="620" w:start="100" w:end="100"/>
        <w:jc w:val="both"/>
        <w:rPr>
          <w:sz w:val="22"/>
        </w:rPr>
      </w:pPr>
      <w:r>
        <w:rPr>
          <w:sz w:val="22"/>
        </w:rPr>
      </w:r>
    </w:p>
    <w:p>
      <w:pPr>
        <w:pStyle w:val="OmniPage5"/>
        <w:ind w:firstLine="620" w:start="100" w:end="100"/>
        <w:jc w:val="both"/>
        <w:rPr>
          <w:sz w:val="22"/>
        </w:rPr>
      </w:pPr>
      <w:r>
        <w:rPr>
          <w:sz w:val="22"/>
        </w:rPr>
        <w:t xml:space="preserve">(d)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ind w:firstLine="620" w:start="100" w:end="100"/>
        <w:jc w:val="both"/>
        <w:rPr>
          <w:sz w:val="22"/>
        </w:rPr>
      </w:pPr>
      <w:r>
        <w:rPr>
          <w:sz w:val="22"/>
        </w:rPr>
      </w:r>
    </w:p>
    <w:p>
      <w:pPr>
        <w:pStyle w:val="OmniPage5"/>
        <w:ind w:firstLine="620" w:start="100" w:end="100"/>
        <w:jc w:val="both"/>
        <w:rPr>
          <w:sz w:val="22"/>
        </w:rPr>
      </w:pPr>
      <w:r>
        <w:rPr>
          <w:sz w:val="22"/>
        </w:rPr>
        <w:t>(e)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 xml:space="preserve">(f)  Notwithstanding any provisions of any of the Underlying Master Agreements, all Letters of Credit permitted as credit support thereunder issued for the account of any Counterparty Party shall name “Enron North America for itself or as Agent for [list each Enron Party]” as a beneficiary thereof, and all Letters of Credit permitted as credit support thereunder issued for the account of any Enron Party shall name “[Calpine entity] for itself or as Agent for [list each Counterparty Party]” as a beneficiary thereof, and in each case shall provide for the right of each such named beneficiary to draw thereon upon the occurrence of a Default under this Agreement and any other drawing condition therein set forth.  The Parties agree and covenant to each other to forthwith and without delay cause the amendment or reestablishment of all Letters of Credit issued for its account pursuant to the Underlying Master Agreements in accordance with the foregoing criteria.  </w:t>
      </w:r>
    </w:p>
    <w:p>
      <w:pPr>
        <w:pStyle w:val="OmniPage5"/>
        <w:ind w:firstLine="620" w:start="100" w:end="100"/>
        <w:jc w:val="both"/>
        <w:rPr>
          <w:b/>
          <w:bCs/>
          <w:sz w:val="22"/>
        </w:rPr>
      </w:pPr>
      <w:r>
        <w:rPr>
          <w:b/>
          <w:bCs/>
          <w:sz w:val="22"/>
        </w:rPr>
      </w:r>
    </w:p>
    <w:p>
      <w:pPr>
        <w:pStyle w:val="OmniPage5"/>
        <w:ind w:firstLine="710" w:start="50" w:end="100"/>
        <w:jc w:val="both"/>
        <w:rPr/>
      </w:pPr>
      <w:r>
        <w:rPr>
          <w:sz w:val="22"/>
        </w:rPr>
        <w:t>(g)  Each Party to an Underlying Master Agreement agrees that the provisions thereof are hereby amended to replace the determination of separate Collateral requirements under each Underlying Master Agreement with the determination of an aggregate net Collateral requirement under all Underlying Master Agreements on the basis of the provisions of this Agreement.  The exposure thresholds applicable to Collateral requirements set forth in the Underlying Master Agreements shall not apply and the following exposure thresholds shall apply to the aggregate exposure under all of the Underlying Master Agreements (each, an "</w:t>
      </w:r>
      <w:r>
        <w:rPr>
          <w:sz w:val="22"/>
          <w:u w:val="single"/>
        </w:rPr>
        <w:t>Exposure Threshold</w:t>
      </w:r>
      <w:r>
        <w:rPr>
          <w:sz w:val="22"/>
        </w:rPr>
        <w:t>"):  w</w:t>
      </w:r>
      <w:r>
        <w:rPr>
          <w:iCs/>
          <w:sz w:val="22"/>
        </w:rPr>
        <w:t>ith respect to Enron Party, U.S. $</w:t>
      </w:r>
      <w:r>
        <w:rPr>
          <w:b/>
          <w:iCs/>
          <w:sz w:val="22"/>
        </w:rPr>
        <w:t>[aggregate collateral threshold to be agreed by Credit Departments]</w:t>
      </w:r>
      <w:r>
        <w:rPr>
          <w:iCs/>
          <w:sz w:val="22"/>
        </w:rPr>
        <w:t xml:space="preserve">, and, with respect to Counterparty Party, </w:t>
      </w:r>
      <w:r>
        <w:rPr>
          <w:b/>
          <w:bCs/>
          <w:iCs/>
          <w:sz w:val="22"/>
        </w:rPr>
        <w:t>[</w:t>
      </w:r>
      <w:r>
        <w:rPr>
          <w:iCs/>
          <w:sz w:val="22"/>
        </w:rPr>
        <w:t>U.S.</w:t>
      </w:r>
      <w:r>
        <w:rPr>
          <w:b/>
          <w:bCs/>
          <w:iCs/>
          <w:sz w:val="24"/>
        </w:rPr>
        <w:t>]</w:t>
      </w:r>
      <w:r>
        <w:rPr>
          <w:iCs/>
          <w:sz w:val="22"/>
        </w:rPr>
        <w:t xml:space="preserve"> $</w:t>
      </w:r>
      <w:r>
        <w:rPr>
          <w:b/>
          <w:iCs/>
          <w:sz w:val="22"/>
        </w:rPr>
        <w:t>[aggregate collateral threshold to be agreed by Credit Departments]</w:t>
      </w:r>
      <w:r>
        <w:rPr>
          <w:iCs/>
          <w:sz w:val="22"/>
        </w:rPr>
        <w:t>; provided, the exposure threshold shall be zero upon the occurrence and during the continuance of a "</w:t>
      </w:r>
      <w:r>
        <w:rPr>
          <w:iCs/>
          <w:sz w:val="22"/>
          <w:u w:val="single"/>
        </w:rPr>
        <w:t>Material Adverse Change</w:t>
      </w:r>
      <w:r>
        <w:rPr>
          <w:iCs/>
          <w:sz w:val="22"/>
        </w:rPr>
        <w:t xml:space="preserve">" (as defined herein and not as defined in any Underlying Master Agreement), Default, or any event which, with the giving of notice or the lapse of time or both, would constitute a Default.  </w:t>
      </w:r>
      <w:r>
        <w:rPr>
          <w:sz w:val="22"/>
        </w:rPr>
        <w:t>“</w:t>
      </w:r>
      <w:r>
        <w:rPr>
          <w:sz w:val="22"/>
          <w:u w:val="single"/>
        </w:rPr>
        <w:t>Material Adverse Change</w:t>
      </w:r>
      <w:r>
        <w:rPr>
          <w:sz w:val="22"/>
        </w:rPr>
        <w:t xml:space="preserve">” means (a) with respect to the Counterparty Parties, </w:t>
      </w:r>
      <w:r>
        <w:rPr>
          <w:b/>
          <w:bCs/>
          <w:sz w:val="22"/>
        </w:rPr>
        <w:t>[to be agreed by Credit Departments]</w:t>
      </w:r>
      <w:r>
        <w:rPr>
          <w:sz w:val="22"/>
        </w:rPr>
        <w:t xml:space="preserve"> and (b) with respect to the Enron Parties, </w:t>
      </w:r>
      <w:r>
        <w:rPr>
          <w:b/>
          <w:bCs/>
          <w:sz w:val="22"/>
        </w:rPr>
        <w:t>[to be agreed by Credit Departments]</w:t>
      </w:r>
      <w:r>
        <w:rPr>
          <w:sz w:val="22"/>
        </w:rPr>
        <w:t xml:space="preserve">. </w:t>
      </w:r>
      <w:r>
        <w:rPr>
          <w:b/>
          <w:bCs/>
          <w:iCs/>
          <w:sz w:val="22"/>
        </w:rPr>
        <w:t xml:space="preserve"> </w:t>
      </w:r>
      <w:r>
        <w:rPr>
          <w:iCs/>
          <w:sz w:val="22"/>
        </w:rPr>
        <w:t>N</w:t>
      </w:r>
      <w:r>
        <w:rPr>
          <w:sz w:val="22"/>
        </w:rPr>
        <w:t xml:space="preserve">otwithstanding the fact that other of the Underlying Master Agreements may provide otherwise, the evaluation of aggregate exposures and the Collateral requirements (including as to type and amount) under this Agreement shall occur in accordance with the provisions and criteria, and on the dates for such purpose, set forth in the Credit Support Annex to the Financial Master Agreement [list specific provisions]; provided, (i) the aggregate thresholds set forth above shall apply and (ii) the Letter of Credit provisions and any form for a Letter of Credit are hereby conformed to Section 6(f) hereof. </w:t>
      </w:r>
    </w:p>
    <w:p>
      <w:pPr>
        <w:pStyle w:val="OmniPage5"/>
        <w:ind w:firstLine="620" w:start="100" w:end="100"/>
        <w:jc w:val="both"/>
        <w:rPr>
          <w:sz w:val="22"/>
        </w:rPr>
      </w:pPr>
      <w:r>
        <w:rPr>
          <w:sz w:val="22"/>
        </w:rPr>
      </w:r>
    </w:p>
    <w:p>
      <w:pPr>
        <w:pStyle w:val="OmniPage5"/>
        <w:ind w:firstLine="620" w:start="100" w:end="100"/>
        <w:jc w:val="both"/>
        <w:rPr/>
      </w:pPr>
      <w:r>
        <w:rPr>
          <w:sz w:val="22"/>
        </w:rPr>
        <w:t>(h)  If at any time and from time to time during the term of this Agreement (and notwithstanding whether a Default has occurred under this Agreement or under any Underlying Master Agreements), the Final Settlement Amount that would be  payable by a Party (if a Default had occurred under this Agreement or under any Underlying Master Agreements) at such time exceeds the Exposure Threshold for such Party (the "</w:t>
      </w:r>
      <w:r>
        <w:rPr>
          <w:sz w:val="22"/>
          <w:u w:val="single"/>
        </w:rPr>
        <w:t>Payor Party</w:t>
      </w:r>
      <w:r>
        <w:rPr>
          <w:sz w:val="22"/>
        </w:rPr>
        <w:t>"), then the other Party may request that the Payor Party provide Collateral in an amount equal to the amount by which such Final Settlement Amount exceeds the Exposure Threshold of the Payor Party, less any Collateral already provided to the other Party. In the event that the Payor Party fails to deliver Collateral pursuant to the terms of this provision within one Business Day of such request, such failure shall constitute a Default under Section 2(a) of this Agreement.</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jc w:val="both"/>
        <w:rPr>
          <w:sz w:val="22"/>
        </w:rPr>
      </w:pPr>
      <w:r>
        <w:rPr>
          <w:sz w:val="22"/>
        </w:rPr>
      </w:r>
    </w:p>
    <w:p>
      <w:pPr>
        <w:pStyle w:val="OmniPage5"/>
        <w:ind w:firstLine="722" w:start="87" w:end="10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The use of headings and subheadings in this Agreement, and the division of this Agreement into sections and sub</w:t>
        <w:noBreakHyphen/>
        <w:t>sections, are for convenience of reference only and shall not affect the interpretation or construction of this Agreement.</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jurisdiction specified in the Underlying Master Agreements; provided, in the event of any inconsistency as to the governing law under any of the Underlying Master Agreements, this Agreement shall be construed in accordance with the substantive law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Jurisdiction.  </w:t>
      </w:r>
      <w:r>
        <w:rPr>
          <w:bCs/>
          <w:sz w:val="22"/>
        </w:rPr>
        <w:t>Subject to Section 16, a</w:t>
      </w:r>
      <w:r>
        <w:rPr>
          <w:sz w:val="22"/>
        </w:rPr>
        <w:t>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shall be made subject to this Agreement and provide that such assignee or other transferee executes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(A) is made subject to this Agreement and any rights in favor of a Party under this Agreement (whether by setoff, Underlying Master Agreements Close-Out, or otherwise), and (B) does not increase the obligations of, or reduce the rights of, the nonassigning Party, all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in this Section 11 and notwithstanding any provision in any of the Underlying Master Agreements to the contrary, the Underlying Master Agreements and Transactions thereunder shall not be assigned (whether by way of security or otherwise) by any Enron Party or any Counterparty Party without the prior written consent of Counterparty Party or Enron Party, respectively. </w:t>
      </w:r>
    </w:p>
    <w:p>
      <w:pPr>
        <w:pStyle w:val="OmniPage5"/>
        <w:ind w:firstLine="722" w:start="88" w:end="136"/>
        <w:jc w:val="both"/>
        <w:rPr>
          <w:bCs/>
          <w:sz w:val="22"/>
        </w:rPr>
      </w:pPr>
      <w:r>
        <w:rPr>
          <w:bCs/>
          <w:sz w:val="22"/>
        </w:rPr>
      </w:r>
    </w:p>
    <w:p>
      <w:pPr>
        <w:pStyle w:val="OmniPage5"/>
        <w:ind w:firstLine="722" w:start="88" w:end="136"/>
        <w:jc w:val="both"/>
        <w:rPr/>
      </w:pPr>
      <w:r>
        <w:rPr>
          <w:bCs/>
          <w:sz w:val="22"/>
        </w:rPr>
        <w:t xml:space="preserve">(d)  Other than as expressly set forth in this Section 11, this Agreement shall not be assigned </w:t>
      </w:r>
      <w:r>
        <w:rPr>
          <w:sz w:val="22"/>
        </w:rPr>
        <w:t xml:space="preserve">(whether by way of security or otherwise) </w:t>
      </w:r>
      <w:r>
        <w:rPr>
          <w:bCs/>
          <w:sz w:val="22"/>
        </w:rPr>
        <w:t xml:space="preserve">by Enron Party or Counterparty Party without the prior written consent of Counterparty Party or Enron Party, respectively.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(e)  Any purported assignment or other transfer that is not in compliance herewith shall be void.  </w:t>
      </w:r>
    </w:p>
    <w:p>
      <w:pPr>
        <w:pStyle w:val="OmniPage5"/>
        <w:ind w:firstLine="722" w:start="88" w:end="136"/>
        <w:jc w:val="both"/>
        <w:rPr>
          <w:bCs/>
          <w:sz w:val="22"/>
        </w:rPr>
      </w:pPr>
      <w:r>
        <w:rPr>
          <w:bCs/>
          <w:sz w:val="22"/>
        </w:rPr>
      </w:r>
    </w:p>
    <w:p>
      <w:pPr>
        <w:pStyle w:val="Normal"/>
        <w:ind w:firstLine="720" w:end="0"/>
        <w:jc w:val="both"/>
        <w:rPr/>
      </w:pPr>
      <w:r>
        <w:rPr>
          <w:bCs/>
          <w:sz w:val="22"/>
        </w:rPr>
        <w:t xml:space="preserve">(f)  This Agreement may not be amended by any Party without the prior written consent of each Party.  </w:t>
      </w:r>
      <w:r>
        <w:rPr>
          <w:sz w:val="22"/>
        </w:rPr>
        <w:t>Confirmations under an Underlying Master Agreement will not serve as an amendment</w:t>
      </w:r>
      <w:r>
        <w:rPr>
          <w:sz w:val="24"/>
        </w:rPr>
        <w: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hereunder may be given by a Party to the other Party by telephone, mail, facsimile, e</w:t>
        <w:noBreakHyphen/>
        <w:t>mail, electronic message, or messenger, to the individuals and at the facsimile numbers, e</w:t>
        <w:noBreakHyphen/>
        <w:t>mail addresses, or other locations as appropriate and as set forth in the Underlying Master Agreements. In the event there is an inconsistency in the notice provisions of the Underlying Master Agreements, notice that is in substantial compliance with such provision in any of the Underlying Master Agreements shall be effective notice hereunder.  Any notice, statement, demand, or other communication required hereunder will be deemed delivered on the day and at the time on which it is received or, if not received, on the day and at the time on which its delivery was in good faith attempted; provided, any notice given by a Party to the other Party by telephone shall be deemed delivered only if (a) such notice is followed by written confirmation thereof, and (b) at least one of the other means of providing notice that are specifically listed above has simultaneously been attempted in good faith by the notifying Party.</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Sections 2 or 3 hereof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szCs w:val="22"/>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each of Enron Party and Counterparty Party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 xml:space="preserve">17.  Guarantors.  </w:t>
      </w:r>
      <w:r>
        <w:rPr>
          <w:sz w:val="22"/>
        </w:rPr>
        <w:t xml:space="preserve">Calpine Corporation and Enron Corp. are guarantors under one or more of the Underlying Master Agreements and join herein for the purpose of acknowledging and consenting to this Agreement, and any future amendment, renewal, restatement, or other modification hereof.  </w:t>
      </w:r>
    </w:p>
    <w:p>
      <w:pPr>
        <w:pStyle w:val="Normal"/>
        <w:jc w:val="both"/>
        <w:rPr>
          <w:b/>
          <w:sz w:val="24"/>
        </w:rPr>
      </w:pPr>
      <w:r>
        <w:rPr>
          <w:b/>
          <w:sz w:val="24"/>
        </w:rPr>
      </w:r>
    </w:p>
    <w:p>
      <w:pPr>
        <w:pStyle w:val="Normal"/>
        <w:ind w:firstLine="720" w:end="0"/>
        <w:jc w:val="both"/>
        <w:rPr/>
      </w:pPr>
      <w:r>
        <w:rPr>
          <w:b/>
          <w:sz w:val="22"/>
        </w:rPr>
        <w:t>18.</w:t>
        <w:tab/>
        <w:t>Term</w:t>
      </w:r>
      <w:r>
        <w:rPr>
          <w:bCs/>
          <w:sz w:val="22"/>
        </w:rPr>
        <w:t>.</w:t>
      </w:r>
      <w:r>
        <w:rPr>
          <w:sz w:val="22"/>
        </w:rPr>
        <w:tab/>
        <w:t xml:space="preserve"> This Agreement shall continue in effect from the date hereof until terminated by agreement of the Parties; however, notwithstanding the foregoing, any Party shall have the right to terminate this Agreement by written notice to the other Parties upon such time as there are fewer than two Underlying Master Agreements in effect that have outstanding Transactions.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PARTY"</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 xml:space="preserve"> </w:t>
      </w:r>
      <w:r>
        <w:rPr>
          <w:sz w:val="22"/>
        </w:rPr>
        <w:t>[ADD SIGNATURE LINES??]</w:t>
      </w:r>
    </w:p>
    <w:p>
      <w:pPr>
        <w:pStyle w:val="Normal"/>
        <w:jc w:val="both"/>
        <w:rPr>
          <w:sz w:val="22"/>
        </w:rPr>
      </w:pPr>
      <w:r>
        <w:rPr>
          <w:sz w:val="22"/>
        </w:rPr>
      </w:r>
    </w:p>
    <w:p>
      <w:pPr>
        <w:pStyle w:val="Normal"/>
        <w:jc w:val="both"/>
        <w:rPr>
          <w:b/>
          <w:bCs/>
          <w:sz w:val="22"/>
        </w:rPr>
      </w:pPr>
      <w:r>
        <w:rPr>
          <w:b/>
          <w:bCs/>
          <w:sz w:val="22"/>
        </w:rPr>
        <w:t>"COUNTERPARTY PARTY"</w:t>
      </w:r>
    </w:p>
    <w:p>
      <w:pPr>
        <w:pStyle w:val="Normal"/>
        <w:jc w:val="both"/>
        <w:rPr>
          <w:b/>
          <w:bCs/>
          <w:sz w:val="22"/>
        </w:rPr>
      </w:pPr>
      <w:r>
        <w:rPr>
          <w:b/>
          <w:bCs/>
          <w:sz w:val="22"/>
        </w:rPr>
      </w:r>
    </w:p>
    <w:p>
      <w:pPr>
        <w:pStyle w:val="Normal"/>
        <w:jc w:val="both"/>
        <w:rPr>
          <w:b/>
          <w:bCs/>
          <w:sz w:val="22"/>
        </w:rPr>
      </w:pPr>
      <w:r>
        <w:rPr>
          <w:b/>
          <w:bCs/>
          <w:sz w:val="22"/>
        </w:rPr>
        <w:t>CALPINE ENERGY SERVICES, L.P.</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t>CALPINE FUELS TEXAS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pPr>
      <w:r>
        <w:rPr>
          <w:sz w:val="22"/>
        </w:rPr>
        <w:t xml:space="preserve"> </w:t>
      </w:r>
      <w:r>
        <w:rPr>
          <w:b/>
          <w:bCs/>
          <w:sz w:val="22"/>
        </w:rPr>
        <w:t>CALPINE NATURAL GAS</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 xml:space="preserve"> </w:t>
      </w:r>
      <w:r>
        <w:rPr>
          <w:sz w:val="22"/>
        </w:rPr>
        <w:t>[ADD SIGNATURE LINES??]</w:t>
      </w:r>
    </w:p>
    <w:p>
      <w:pPr>
        <w:pStyle w:val="Normal"/>
        <w:jc w:val="both"/>
        <w:rPr>
          <w:sz w:val="22"/>
        </w:rPr>
      </w:pPr>
      <w:r>
        <w:rPr>
          <w:sz w:val="22"/>
        </w:rPr>
      </w:r>
    </w:p>
    <w:p>
      <w:pPr>
        <w:pStyle w:val="Normal"/>
        <w:jc w:val="both"/>
        <w:rPr>
          <w:b/>
          <w:bCs/>
          <w:sz w:val="22"/>
        </w:rPr>
      </w:pPr>
      <w:r>
        <w:rPr>
          <w:b/>
          <w:bCs/>
          <w:sz w:val="22"/>
        </w:rPr>
        <w:t>CALPINE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t>ENRON CORP.</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r>
    </w:p>
    <w:sectPr>
      <w:headerReference w:type="default" r:id="rId2"/>
      <w:footerReference w:type="default" r:id="rId3"/>
      <w:type w:val="nextPage"/>
      <w:pgSz w:w="12240" w:h="15840"/>
      <w:pgMar w:left="1440" w:right="1440" w:gutter="0" w:header="72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/mnt/main-storage/datasets/enron-docs/doc/CalpineMaster_Netting___Security_Agmnt040901.doc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04/09/01</w:t>
    </w:r>
  </w:p>
  <w:p>
    <w:pPr>
      <w:pStyle w:val="Header"/>
      <w:jc w:val="end"/>
      <w:rPr/>
    </w:pPr>
    <w:r>
      <w:rPr/>
      <w:t>FOR DISCUSSION PURPOSES ONLY</w:t>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2001-04-09T14:30:00Z</dcterms:created>
  <dc:creator>mcook</dc:creator>
  <dc:description/>
  <dc:language>en-CA</dc:language>
  <cp:lastModifiedBy>jmoore2</cp:lastModifiedBy>
  <cp:lastPrinted>2001-02-22T14:44:00Z</cp:lastPrinted>
  <dcterms:modified xsi:type="dcterms:W3CDTF">2001-04-09T21:14:00Z</dcterms:modified>
  <cp:revision>6</cp:revision>
  <dc:subject/>
  <dc:title>MASTER CROSS﷓PRODUCT NETTING AND SECURITY AGREEMENT</dc:title>
</cp:coreProperties>
</file>