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_, 2000</w:t>
      </w:r>
    </w:p>
    <w:p>
      <w:pPr>
        <w:pStyle w:val="Normal"/>
        <w:rPr/>
      </w:pPr>
      <w:r>
        <w:rPr/>
      </w:r>
    </w:p>
    <w:p>
      <w:pPr>
        <w:pStyle w:val="Normal"/>
        <w:rPr/>
      </w:pPr>
      <w:r>
        <w:rPr/>
        <w:t>Robert Alff</w:t>
      </w:r>
    </w:p>
    <w:p>
      <w:pPr>
        <w:pStyle w:val="Normal"/>
        <w:rPr/>
      </w:pPr>
      <w:r>
        <w:rPr/>
        <w:t>Michael Petit</w:t>
      </w:r>
    </w:p>
    <w:p>
      <w:pPr>
        <w:pStyle w:val="Normal"/>
        <w:rPr/>
      </w:pPr>
      <w:r>
        <w:rPr/>
        <w:t>Calpine Eastern Corporation</w:t>
      </w:r>
    </w:p>
    <w:p>
      <w:pPr>
        <w:pStyle w:val="Normal"/>
        <w:rPr/>
      </w:pPr>
      <w:r>
        <w:rPr/>
        <w:t>The Pilot House</w:t>
      </w:r>
    </w:p>
    <w:p>
      <w:pPr>
        <w:pStyle w:val="Normal"/>
        <w:rPr/>
      </w:pPr>
      <w:r>
        <w:rPr/>
        <w:t>2</w:t>
      </w:r>
      <w:r>
        <w:rPr>
          <w:vertAlign w:val="superscript"/>
        </w:rPr>
        <w:t>nd</w:t>
      </w:r>
      <w:r>
        <w:rPr/>
        <w:t xml:space="preserve"> Floor</w:t>
      </w:r>
    </w:p>
    <w:p>
      <w:pPr>
        <w:pStyle w:val="Normal"/>
        <w:rPr/>
      </w:pPr>
      <w:r>
        <w:rPr/>
        <w:t>The Lewis Wharf</w:t>
      </w:r>
    </w:p>
    <w:p>
      <w:pPr>
        <w:pStyle w:val="Normal"/>
        <w:rPr/>
      </w:pPr>
      <w:r>
        <w:rPr/>
        <w:t>Boston, Massachusetts 02110</w:t>
      </w:r>
    </w:p>
    <w:p>
      <w:pPr>
        <w:pStyle w:val="Normal"/>
        <w:rPr/>
      </w:pPr>
      <w:r>
        <w:rPr/>
      </w:r>
    </w:p>
    <w:p>
      <w:pPr>
        <w:pStyle w:val="Normal"/>
        <w:rPr/>
      </w:pPr>
      <w:r>
        <w:rPr/>
        <w:t>Dear Bob and Mike:</w:t>
      </w:r>
    </w:p>
    <w:p>
      <w:pPr>
        <w:pStyle w:val="Normal"/>
        <w:rPr/>
      </w:pPr>
      <w:r>
        <w:rPr/>
      </w:r>
    </w:p>
    <w:p>
      <w:pPr>
        <w:pStyle w:val="Normal"/>
        <w:rPr/>
      </w:pPr>
      <w:r>
        <w:rPr/>
        <w:t>Thank you for meeting with me on February 9, 2000.  I was greatly impressed with Calpine Eastern’s organization and project portfolio.  Given that the first discussion on Dighton took place in April 1997, the growth of your overall business is particularly impressive.</w:t>
      </w:r>
    </w:p>
    <w:p>
      <w:pPr>
        <w:pStyle w:val="Normal"/>
        <w:rPr/>
      </w:pPr>
      <w:r>
        <w:rPr/>
        <w:t xml:space="preserve"> </w:t>
      </w:r>
    </w:p>
    <w:p>
      <w:pPr>
        <w:pStyle w:val="Normal"/>
        <w:rPr/>
      </w:pPr>
      <w:r>
        <w:rPr/>
        <w:t>Based on our discussions in Boston, I would like to propose three potential transactions for your consideration.  In the balance of this letter, I have summarized in a general fashion each of these potential transactions.  Each of the proposals I have made in this letter are non-binding and would be subject to the negotiation of definitive agreements mutually satisfactory to both parties.</w:t>
      </w:r>
    </w:p>
    <w:p>
      <w:pPr>
        <w:pStyle w:val="Normal"/>
        <w:rPr/>
      </w:pPr>
      <w:r>
        <w:rPr/>
      </w:r>
    </w:p>
    <w:p>
      <w:pPr>
        <w:pStyle w:val="Normal"/>
        <w:rPr/>
      </w:pPr>
      <w:r>
        <w:rPr/>
        <w:t xml:space="preserve"> </w:t>
      </w:r>
      <w:r>
        <w:rPr/>
        <w:t xml:space="preserve">I have focused on transactions, which based on my knowledge of both organizations, have strong mutual value and therefore a reasonable closing probability.  After you had a chance to consider each of the proposed transactions, I suggest that we meet again, either in Boston or Houston, to discuss in further detail the proposed the transactions </w:t>
      </w:r>
    </w:p>
    <w:p>
      <w:pPr>
        <w:pStyle w:val="Normal"/>
        <w:rPr/>
      </w:pPr>
      <w:r>
        <w:rPr/>
      </w:r>
    </w:p>
    <w:p>
      <w:pPr>
        <w:pStyle w:val="Heading1"/>
        <w:ind w:hanging="0" w:start="0"/>
        <w:rPr/>
      </w:pPr>
      <w:r>
        <w:rPr/>
        <w:t>Eastern PJM Peaking Project</w:t>
      </w:r>
    </w:p>
    <w:p>
      <w:pPr>
        <w:pStyle w:val="Normal"/>
        <w:rPr/>
      </w:pPr>
      <w:r>
        <w:rPr/>
      </w:r>
    </w:p>
    <w:p>
      <w:pPr>
        <w:pStyle w:val="Normal"/>
        <w:rPr/>
      </w:pPr>
      <w:r>
        <w:rPr/>
        <w:t>ENA would sell four (4) LM-6000 turbines to Calpine for approximately $__ million a turbine, payable in __ monthly installments (consistent with the underlying contractual payment schedule) starting on April 1, 2000.  The contractual ex-works delivery date for these turbines would be ____.</w:t>
      </w:r>
    </w:p>
    <w:p>
      <w:pPr>
        <w:pStyle w:val="Normal"/>
        <w:rPr/>
      </w:pPr>
      <w:r>
        <w:rPr/>
      </w:r>
    </w:p>
    <w:p>
      <w:pPr>
        <w:pStyle w:val="Normal"/>
        <w:rPr/>
      </w:pPr>
      <w:r>
        <w:rPr/>
        <w:t>Calpine would install these turbines at an agreed upon site in eastern PJM.  Calpine would be responsible for permitting (a non-PSD air permit would be acceptable), constructing, financing and operating the peaking project.   The targeted commercial operations date would be June 1, 2001</w:t>
      </w:r>
    </w:p>
    <w:p>
      <w:pPr>
        <w:pStyle w:val="Normal"/>
        <w:rPr/>
      </w:pPr>
      <w:r>
        <w:rPr/>
      </w:r>
    </w:p>
    <w:p>
      <w:pPr>
        <w:pStyle w:val="Normal"/>
        <w:rPr/>
      </w:pPr>
      <w:r>
        <w:rPr/>
        <w:t>As part of the transaction, ENA would enter into a short-term tolling agreement for the peaking project on the following indicative pricing terms:</w:t>
      </w:r>
    </w:p>
    <w:p>
      <w:pPr>
        <w:pStyle w:val="Normal"/>
        <w:rPr/>
      </w:pPr>
      <w:r>
        <w:rPr/>
      </w:r>
    </w:p>
    <w:p>
      <w:pPr>
        <w:pStyle w:val="Normal"/>
        <w:rPr/>
      </w:pPr>
      <w:r>
        <w:rPr/>
        <w:tab/>
        <w:tab/>
        <w:tab/>
        <w:tab/>
      </w:r>
      <w:r>
        <w:rPr>
          <w:u w:val="single"/>
        </w:rPr>
        <w:t>Scenario 1</w:t>
      </w:r>
      <w:r>
        <w:rPr/>
        <w:tab/>
        <w:tab/>
        <w:tab/>
      </w:r>
      <w:r>
        <w:rPr>
          <w:u w:val="single"/>
        </w:rPr>
        <w:t>Scenario 2</w:t>
      </w:r>
    </w:p>
    <w:p>
      <w:pPr>
        <w:pStyle w:val="Normal"/>
        <w:rPr/>
      </w:pPr>
      <w:r>
        <w:rPr/>
        <w:t xml:space="preserve">Capacity (MW) (1)  </w:t>
      </w:r>
    </w:p>
    <w:p>
      <w:pPr>
        <w:pStyle w:val="Normal"/>
        <w:rPr/>
      </w:pPr>
      <w:r>
        <w:rPr/>
      </w:r>
    </w:p>
    <w:p>
      <w:pPr>
        <w:pStyle w:val="Normal"/>
        <w:rPr/>
      </w:pPr>
      <w:r>
        <w:rPr/>
        <w:t>Capacity Pricing (KW-mo.) (3)</w:t>
      </w:r>
    </w:p>
    <w:p>
      <w:pPr>
        <w:pStyle w:val="Normal"/>
        <w:rPr/>
      </w:pPr>
      <w:r>
        <w:rPr/>
      </w:r>
    </w:p>
    <w:p>
      <w:pPr>
        <w:pStyle w:val="Normal"/>
        <w:rPr/>
      </w:pPr>
      <w:r>
        <w:rPr/>
        <w:t>VOM Pricing ($/MWh)</w:t>
        <w:tab/>
        <w:tab/>
        <w:tab/>
        <w:t>(4)</w:t>
        <w:tab/>
        <w:tab/>
        <w:tab/>
        <w:tab/>
        <w:t>(4)</w:t>
      </w:r>
    </w:p>
    <w:p>
      <w:pPr>
        <w:pStyle w:val="Normal"/>
        <w:rPr/>
      </w:pPr>
      <w:r>
        <w:rPr/>
      </w:r>
    </w:p>
    <w:p>
      <w:pPr>
        <w:pStyle w:val="Normal"/>
        <w:rPr/>
      </w:pPr>
      <w:r>
        <w:rPr/>
        <w:t>Start Charge Schedule ($/Start)</w:t>
        <w:tab/>
        <w:tab/>
        <w:t>(4)</w:t>
        <w:tab/>
        <w:tab/>
        <w:tab/>
        <w:tab/>
        <w:t>(4)</w:t>
      </w:r>
    </w:p>
    <w:p>
      <w:pPr>
        <w:pStyle w:val="Normal"/>
        <w:rPr/>
      </w:pPr>
      <w:r>
        <w:rPr/>
      </w:r>
    </w:p>
    <w:p>
      <w:pPr>
        <w:pStyle w:val="Normal"/>
        <w:rPr/>
      </w:pPr>
      <w:r>
        <w:rPr/>
        <w:t xml:space="preserve">Term </w:t>
        <w:tab/>
        <w:tab/>
        <w:tab/>
        <w:tab/>
        <w:t>6/1/2001-5/31/2004</w:t>
        <w:tab/>
        <w:tab/>
        <w:t>6/1/2001-5/31/2006</w:t>
      </w:r>
    </w:p>
    <w:p>
      <w:pPr>
        <w:pStyle w:val="Normal"/>
        <w:rPr/>
      </w:pPr>
      <w:r>
        <w:rPr/>
      </w:r>
    </w:p>
    <w:p>
      <w:pPr>
        <w:pStyle w:val="Normal"/>
        <w:rPr/>
      </w:pPr>
      <w:r>
        <w:rPr/>
        <w:t>Notes:</w:t>
      </w:r>
    </w:p>
    <w:p>
      <w:pPr>
        <w:pStyle w:val="Normal"/>
        <w:numPr>
          <w:ilvl w:val="0"/>
          <w:numId w:val="2"/>
        </w:numPr>
        <w:rPr/>
      </w:pPr>
      <w:r>
        <w:rPr/>
        <w:t>Net expected capacity based on 90 degrees Fahrenheit and assumed site conditions.</w:t>
      </w:r>
    </w:p>
    <w:p>
      <w:pPr>
        <w:pStyle w:val="Normal"/>
        <w:numPr>
          <w:ilvl w:val="0"/>
          <w:numId w:val="2"/>
        </w:numPr>
        <w:rPr/>
      </w:pPr>
      <w:r>
        <w:rPr/>
        <w:t>Assumed site conditions are ________.</w:t>
      </w:r>
    </w:p>
    <w:p>
      <w:pPr>
        <w:pStyle w:val="Normal"/>
        <w:numPr>
          <w:ilvl w:val="0"/>
          <w:numId w:val="2"/>
        </w:numPr>
        <w:rPr/>
      </w:pPr>
      <w:r>
        <w:rPr/>
        <w:t>Priced based on a Parlin, New Jersey location.</w:t>
      </w:r>
    </w:p>
    <w:p>
      <w:pPr>
        <w:pStyle w:val="Normal"/>
        <w:numPr>
          <w:ilvl w:val="0"/>
          <w:numId w:val="2"/>
        </w:numPr>
        <w:rPr/>
      </w:pPr>
      <w:r>
        <w:rPr/>
        <w:t>To be negotiated on the basis of original equipment manufacturer standards.</w:t>
      </w:r>
    </w:p>
    <w:p>
      <w:pPr>
        <w:pStyle w:val="Normal"/>
        <w:numPr>
          <w:ilvl w:val="0"/>
          <w:numId w:val="2"/>
        </w:numPr>
        <w:rPr/>
      </w:pPr>
      <w:r>
        <w:rPr/>
        <w:t>To meet permitting requirements, CO catalysts and SCRs may have to be added to the configuration</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Florida Peaking Projects</w:t>
      </w:r>
    </w:p>
    <w:p>
      <w:pPr>
        <w:pStyle w:val="Normal"/>
        <w:rPr/>
      </w:pPr>
      <w:r>
        <w:rPr/>
      </w:r>
    </w:p>
    <w:p>
      <w:pPr>
        <w:pStyle w:val="Normal"/>
        <w:rPr/>
      </w:pPr>
      <w:r>
        <w:rPr/>
        <w:t>ENA has an interest in securing a 1-3 year tolling agreement for peaking capacity in Florida.  Given that gas-fired peaking facilities are not subject to the Florida Siting Act, we thought that there may an opportunity to phase one of your planned Florida combined-cycle projects to allow for a short-term, peaking tolling agreement.   To facilitate a June 1, 2001 start date for the peaking facility, ENA would be willing to work within the parameters of a non-PSD air permit.  This structure would allow Calpine to capture a first-mover advantage over its competitors and capture value from the project on an accelerated basis.  Depending upon the term, ENA’s indicative capacity pricing would be in the _____ kw-mo. range for such a peaking tolling agreement.  The other pricing terms would be negotiated on a similar basis to the LM-6000 transaction proposed for eastern PJM.</w:t>
      </w:r>
    </w:p>
    <w:p>
      <w:pPr>
        <w:pStyle w:val="Normal"/>
        <w:rPr/>
      </w:pPr>
      <w:r>
        <w:rPr/>
      </w:r>
    </w:p>
    <w:p>
      <w:pPr>
        <w:pStyle w:val="Heading1"/>
        <w:ind w:hanging="0" w:start="0"/>
        <w:rPr/>
      </w:pPr>
      <w:r>
        <w:rPr/>
        <w:t>Polk County Project</w:t>
      </w:r>
    </w:p>
    <w:p>
      <w:pPr>
        <w:pStyle w:val="Normal"/>
        <w:rPr/>
      </w:pPr>
      <w:r>
        <w:rPr/>
      </w:r>
    </w:p>
    <w:p>
      <w:pPr>
        <w:pStyle w:val="Normal"/>
        <w:rPr/>
      </w:pPr>
      <w:r>
        <w:rPr/>
        <w:t>We would be interested in discussing a joint ENA-Calpine Florida combined-cycle project using 1-2 of ENA’s F-Class turbines.  Depending upon the value proposition, I may be able to secure F-Class turbines with contractual delivery dates sufficient to accommodate a 2002 commercial operation date for a combined cycle plant. From an ENA perspective, the key transaction elements that it would want are as follows:</w:t>
      </w:r>
    </w:p>
    <w:p>
      <w:pPr>
        <w:pStyle w:val="Normal"/>
        <w:ind w:start="720" w:end="0"/>
        <w:rPr/>
      </w:pPr>
      <w:r>
        <w:rPr/>
      </w:r>
    </w:p>
    <w:p>
      <w:pPr>
        <w:pStyle w:val="Normal"/>
        <w:numPr>
          <w:ilvl w:val="0"/>
          <w:numId w:val="3"/>
        </w:numPr>
        <w:rPr/>
      </w:pPr>
      <w:r>
        <w:rPr/>
        <w:t>An ENA tolling agreement, probably of a 3-5 year term;</w:t>
      </w:r>
    </w:p>
    <w:p>
      <w:pPr>
        <w:pStyle w:val="Normal"/>
        <w:numPr>
          <w:ilvl w:val="0"/>
          <w:numId w:val="3"/>
        </w:numPr>
        <w:rPr/>
      </w:pPr>
      <w:r>
        <w:rPr/>
        <w:t>A long-term ENA gas supply agreement for an additional term; and</w:t>
      </w:r>
    </w:p>
    <w:p>
      <w:pPr>
        <w:pStyle w:val="Normal"/>
        <w:numPr>
          <w:ilvl w:val="0"/>
          <w:numId w:val="3"/>
        </w:numPr>
        <w:rPr/>
      </w:pPr>
      <w:r>
        <w:rPr/>
        <w:t>A 50% ENA ownership participation.</w:t>
      </w:r>
    </w:p>
    <w:p>
      <w:pPr>
        <w:pStyle w:val="Normal"/>
        <w:rPr/>
      </w:pPr>
      <w:r>
        <w:rPr/>
      </w:r>
    </w:p>
    <w:p>
      <w:pPr>
        <w:pStyle w:val="Normal"/>
        <w:rPr/>
      </w:pPr>
      <w:r>
        <w:rPr/>
        <w:t>I can make a more definitive proposal, if you provide me with more detailed project description.</w:t>
      </w:r>
    </w:p>
    <w:p>
      <w:pPr>
        <w:pStyle w:val="Normal"/>
        <w:rPr/>
      </w:pPr>
      <w:r>
        <w:rPr/>
      </w:r>
    </w:p>
    <w:p>
      <w:pPr>
        <w:pStyle w:val="Normal"/>
        <w:rPr/>
      </w:pPr>
      <w:r>
        <w:rPr/>
      </w:r>
    </w:p>
    <w:p>
      <w:pPr>
        <w:pStyle w:val="Normal"/>
        <w:rPr/>
      </w:pPr>
      <w:r>
        <w:rPr/>
        <w:t>Please give me a call after you have had a chance to review these proposals.</w:t>
      </w:r>
    </w:p>
    <w:p>
      <w:pPr>
        <w:pStyle w:val="Normal"/>
        <w:rPr/>
      </w:pPr>
      <w:r>
        <w:rPr/>
      </w:r>
    </w:p>
    <w:p>
      <w:pPr>
        <w:pStyle w:val="Normal"/>
        <w:rPr/>
      </w:pPr>
      <w:r>
        <w:rPr/>
        <w:t>Sincerely yours,</w:t>
      </w:r>
    </w:p>
    <w:p>
      <w:pPr>
        <w:pStyle w:val="Normal"/>
        <w:rPr/>
      </w:pPr>
      <w:r>
        <w:rPr/>
      </w:r>
    </w:p>
    <w:p>
      <w:pPr>
        <w:pStyle w:val="Normal"/>
        <w:rPr/>
      </w:pPr>
      <w:r>
        <w:rPr/>
      </w:r>
    </w:p>
    <w:p>
      <w:pPr>
        <w:pStyle w:val="Normal"/>
        <w:rPr/>
      </w:pPr>
      <w:r>
        <w:rPr/>
        <w:t xml:space="preserve">Scott R. Healy  </w:t>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2000-02-18T12:20:00Z</dcterms:created>
  <dc:creator>shealy</dc:creator>
  <dc:description/>
  <dc:language>en-CA</dc:language>
  <cp:lastModifiedBy>shealy</cp:lastModifiedBy>
  <dcterms:modified xsi:type="dcterms:W3CDTF">2000-02-18T12:20:00Z</dcterms:modified>
  <cp:revision>2</cp:revision>
  <dc:subject/>
  <dc:title>Thank you for meeting with me on February 9, 2000</dc:title>
</cp:coreProperties>
</file>