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pPr>
      <w:r>
        <w:rPr>
          <w:b/>
          <w:sz w:val="32"/>
        </w:rPr>
        <w:t>ENRON NORTH AMERICA CORP</w:t>
      </w:r>
      <w:r>
        <w:rPr>
          <w:b/>
        </w:rPr>
        <w:t>.</w:t>
      </w:r>
    </w:p>
    <w:p>
      <w:pPr>
        <w:pStyle w:val="Normal"/>
        <w:jc w:val="center"/>
        <w:rPr>
          <w:b/>
        </w:rPr>
      </w:pPr>
      <w:r>
        <w:rPr>
          <w:b/>
        </w:rPr>
      </w:r>
    </w:p>
    <w:p>
      <w:pPr>
        <w:pStyle w:val="Heading6"/>
        <w:ind w:hanging="0" w:start="0"/>
        <w:rPr/>
      </w:pPr>
      <w:r>
        <w:rPr/>
        <w:t xml:space="preserve">CALPINE CORPORATION </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pPr>
      <w:r>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jc w:val="both"/>
        <w:rPr>
          <w:i/>
          <w:i/>
          <w:iCs/>
          <w:sz w:val="22"/>
        </w:rPr>
      </w:pPr>
      <w:r>
        <w:rPr>
          <w:i/>
          <w:iCs/>
          <w:sz w:val="22"/>
        </w:rPr>
        <w:t xml:space="preserve">Enron North America Corp. (“ENA”) and or Enron Canada Corp (“ECC”) and or a designee shall make available for assignment to Calpine Corporation (“Calpine”) long term capacity on Nova, ANG and Pacific Gas Transmission Company – (“PGT”) and capacity on El Paso Natural Gas Co. subject to the Volumes, Terms and Conditions as agreed to by Assignee and Assignor set forth herein. </w:t>
      </w:r>
    </w:p>
    <w:p>
      <w:pPr>
        <w:pStyle w:val="Normal"/>
        <w:rPr>
          <w:b/>
          <w:i/>
          <w:i/>
          <w:iCs/>
          <w:smallCaps/>
          <w:sz w:val="22"/>
        </w:rPr>
      </w:pPr>
      <w:r>
        <w:rPr>
          <w:b/>
          <w:i/>
          <w:iCs/>
          <w:smallCaps/>
          <w:sz w:val="22"/>
        </w:rPr>
      </w:r>
    </w:p>
    <w:p>
      <w:pPr>
        <w:pStyle w:val="Normal"/>
        <w:rPr>
          <w:b/>
          <w:smallCaps/>
        </w:rPr>
      </w:pPr>
      <w:r>
        <w:rPr>
          <w:b/>
          <w:smallCaps/>
        </w:rPr>
      </w:r>
    </w:p>
    <w:p>
      <w:pPr>
        <w:pStyle w:val="Heading1"/>
        <w:ind w:hanging="0" w:start="0"/>
        <w:rPr>
          <w:u w:val="single"/>
        </w:rPr>
      </w:pPr>
      <w:r>
        <w:rPr>
          <w:u w:val="single"/>
        </w:rPr>
        <w:t xml:space="preserve">Transportation 1 -  AECO to  MALIN  (Nova, Ang and PGT )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PGT - Period of Assignment:</w:t>
      </w:r>
      <w:r>
        <w:rPr>
          <w:b/>
        </w:rPr>
        <w:t xml:space="preserve"> </w:t>
        <w:tab/>
      </w:r>
      <w:r>
        <w:rPr>
          <w:bCs/>
        </w:rPr>
        <w:t xml:space="preserve">Mid 2002 </w:t>
      </w:r>
      <w:r>
        <w:rPr/>
        <w:t xml:space="preserve"> – October 31, 2023</w:t>
      </w:r>
    </w:p>
    <w:p>
      <w:pPr>
        <w:pStyle w:val="Normal"/>
        <w:tabs>
          <w:tab w:val="clear" w:pos="720"/>
          <w:tab w:val="left" w:pos="2880" w:leader="none"/>
        </w:tabs>
        <w:rPr/>
      </w:pPr>
      <w:r>
        <w:rPr/>
      </w:r>
    </w:p>
    <w:p>
      <w:pPr>
        <w:pStyle w:val="Normal"/>
        <w:ind w:start="3600" w:end="0"/>
        <w:rPr>
          <w:sz w:val="22"/>
        </w:rPr>
      </w:pPr>
      <w:r>
        <w:rPr>
          <w:sz w:val="22"/>
        </w:rPr>
        <w:t xml:space="preserve">Pacific Gas Transmission Company – Northwest (“PGT”) shall be the interstate pipeline service from Kingsgate to Malin, Oregon at 100% of  PGT’s FERC approved transportation rates pursuant to Rate Schedule FTS-1, plus the applicable MRRS surcharge. </w:t>
      </w:r>
    </w:p>
    <w:p>
      <w:pPr>
        <w:pStyle w:val="Normal"/>
        <w:ind w:start="3600" w:end="0"/>
        <w:rPr>
          <w:sz w:val="22"/>
        </w:rPr>
      </w:pPr>
      <w:r>
        <w:rPr>
          <w:sz w:val="22"/>
        </w:rPr>
      </w:r>
    </w:p>
    <w:p>
      <w:pPr>
        <w:pStyle w:val="Normal"/>
        <w:ind w:start="3600" w:end="0"/>
        <w:rPr>
          <w:sz w:val="22"/>
        </w:rPr>
      </w:pPr>
      <w:r>
        <w:rPr>
          <w:sz w:val="22"/>
        </w:rPr>
      </w:r>
    </w:p>
    <w:p>
      <w:pPr>
        <w:pStyle w:val="Normal"/>
        <w:ind w:start="3600" w:end="0"/>
        <w:rPr>
          <w:sz w:val="22"/>
        </w:rPr>
      </w:pPr>
      <w:r>
        <w:rPr>
          <w:sz w:val="22"/>
        </w:rPr>
      </w:r>
    </w:p>
    <w:p>
      <w:pPr>
        <w:pStyle w:val="Normal"/>
        <w:ind w:start="3600" w:end="0"/>
        <w:rPr>
          <w:sz w:val="22"/>
        </w:rPr>
      </w:pPr>
      <w:r>
        <w:rPr>
          <w:sz w:val="22"/>
        </w:rPr>
      </w:r>
    </w:p>
    <w:p>
      <w:pPr>
        <w:pStyle w:val="Normal"/>
        <w:rPr>
          <w:sz w:val="22"/>
        </w:rPr>
      </w:pPr>
      <w:r>
        <w:rPr>
          <w:sz w:val="22"/>
        </w:rPr>
      </w:r>
    </w:p>
    <w:p>
      <w:pPr>
        <w:pStyle w:val="Normal"/>
        <w:tabs>
          <w:tab w:val="clear" w:pos="720"/>
          <w:tab w:val="left" w:pos="2880" w:leader="none"/>
        </w:tabs>
        <w:rPr/>
      </w:pPr>
      <w:r>
        <w:rPr>
          <w:b/>
          <w:u w:val="single"/>
        </w:rPr>
        <w:t>Nova/ANG - Period of Assignment:</w:t>
      </w:r>
      <w:r>
        <w:rPr/>
        <w:t xml:space="preserve"> </w:t>
        <w:tab/>
        <w:t xml:space="preserve">Mid 2002 – October 31, 2008 </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4320" w:end="0"/>
        <w:rPr/>
      </w:pPr>
      <w:r>
        <w:rPr>
          <w:b/>
        </w:rPr>
        <w:tab/>
        <w:tab/>
      </w:r>
      <w:r>
        <w:rPr/>
        <w:t xml:space="preserve">Nova Gas Transmission service shall be the Firm Service Delivery to allow for the DCQ to the Alberta/B.C. border at the interconnect with Alberta Natural Gas Company (“ANG”).  ANG capacity shall be the applicable firm space to deliver the DCQ to border at Kingsgate.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4320" w:end="0"/>
        <w:rPr/>
      </w:pPr>
      <w:r>
        <w:rPr/>
        <w:tab/>
        <w:tab/>
        <w:t xml:space="preserve">The capacity will be assigned on a permanent basis at 100% of full tolls and Calpine shall assume all obligations on these volumes once assignment documents have been approved and executed.   </w:t>
      </w:r>
    </w:p>
    <w:p>
      <w:pPr>
        <w:pStyle w:val="Header"/>
        <w:tabs>
          <w:tab w:val="clear" w:pos="4680"/>
          <w:tab w:val="clear" w:pos="9360"/>
          <w:tab w:val="left" w:pos="2880" w:leader="none"/>
        </w:tabs>
        <w:rPr/>
      </w:pPr>
      <w:r>
        <w:rPr/>
      </w:r>
    </w:p>
    <w:p>
      <w:pPr>
        <w:pStyle w:val="Header"/>
        <w:tabs>
          <w:tab w:val="clear" w:pos="4680"/>
          <w:tab w:val="clear" w:pos="9360"/>
          <w:tab w:val="left" w:pos="2880" w:leader="none"/>
        </w:tabs>
        <w:rPr/>
      </w:pPr>
      <w:r>
        <w:rPr/>
      </w:r>
    </w:p>
    <w:p>
      <w:pPr>
        <w:pStyle w:val="BodyTextIndent"/>
        <w:rPr/>
      </w:pPr>
      <w:r>
        <w:rPr>
          <w:b/>
          <w:u w:val="single"/>
        </w:rPr>
        <w:t xml:space="preserve">Estimated Delivered Quantity: </w:t>
      </w:r>
      <w:r>
        <w:rPr/>
        <w:tab/>
        <w:tab/>
        <w:t>10,000 – 12,000 MMBtu/day</w:t>
      </w:r>
    </w:p>
    <w:p>
      <w:pPr>
        <w:pStyle w:val="BodyTextIndent"/>
        <w:rPr>
          <w:b/>
        </w:rPr>
      </w:pPr>
      <w:r>
        <w:rPr>
          <w:b/>
        </w:rPr>
        <w:tab/>
      </w:r>
    </w:p>
    <w:p>
      <w:pPr>
        <w:pStyle w:val="BodyTextIndent"/>
        <w:rPr/>
      </w:pPr>
      <w:r>
        <w:rPr/>
        <w:tab/>
      </w:r>
    </w:p>
    <w:p>
      <w:pPr>
        <w:pStyle w:val="Normal"/>
        <w:tabs>
          <w:tab w:val="clear" w:pos="720"/>
          <w:tab w:val="left" w:pos="2880" w:leader="none"/>
        </w:tabs>
        <w:ind w:hanging="4320" w:start="4320" w:end="0"/>
        <w:rPr/>
      </w:pPr>
      <w:r>
        <w:rPr>
          <w:b/>
          <w:u w:val="single"/>
        </w:rPr>
        <w:t xml:space="preserve">Other Provisions: </w:t>
      </w:r>
      <w:r>
        <w:rPr>
          <w:b/>
        </w:rPr>
        <w:tab/>
        <w:tab/>
      </w:r>
      <w:r>
        <w:rPr/>
        <w:t>ENA shall provide to Calpine all renewal rights as applicable, on Nova and ANG systems. Service to expire Oct/31/2008. Calpine shall hold all renewal rights to expiration and may exercise these rights as per the capacity release schedule directed by Nova and ANG prior to the expiration date.</w:t>
      </w:r>
    </w:p>
    <w:p>
      <w:pPr>
        <w:pStyle w:val="Normal"/>
        <w:tabs>
          <w:tab w:val="clear" w:pos="720"/>
          <w:tab w:val="left" w:pos="2880" w:leader="none"/>
        </w:tabs>
        <w:ind w:hanging="2880" w:start="2880" w:end="0"/>
        <w:rPr/>
      </w:pPr>
      <w:r>
        <w:rPr/>
      </w:r>
    </w:p>
    <w:p>
      <w:pPr>
        <w:pStyle w:val="Normal"/>
        <w:tabs>
          <w:tab w:val="clear" w:pos="720"/>
          <w:tab w:val="left" w:pos="2880" w:leader="none"/>
        </w:tabs>
        <w:ind w:hanging="4320" w:start="4320" w:end="0"/>
        <w:rPr/>
      </w:pPr>
      <w:r>
        <w:rPr>
          <w:b/>
          <w:u w:val="single"/>
        </w:rPr>
        <w:t xml:space="preserve">Assignment Fee: </w:t>
      </w:r>
      <w:r>
        <w:rPr>
          <w:b/>
        </w:rPr>
        <w:tab/>
        <w:tab/>
      </w:r>
      <w:r>
        <w:rPr>
          <w:bCs/>
        </w:rPr>
        <w:t>A fuel surcharge based upon a percentage of the delivered quantity that is to be collected for the duration of the assignment</w:t>
      </w:r>
      <w:r>
        <w:rPr>
          <w:b/>
        </w:rPr>
        <w:t xml:space="preserve">. </w:t>
      </w:r>
      <w:r>
        <w:rPr>
          <w:bCs/>
        </w:rPr>
        <w:t>The fuel shall be delivered at AECO/NIT.</w:t>
      </w:r>
    </w:p>
    <w:p>
      <w:pPr>
        <w:pStyle w:val="Normal"/>
        <w:tabs>
          <w:tab w:val="clear" w:pos="720"/>
          <w:tab w:val="left" w:pos="2880" w:leader="none"/>
        </w:tabs>
        <w:ind w:hanging="4320" w:start="4320" w:end="0"/>
        <w:rPr>
          <w:b/>
          <w:bCs/>
          <w:u w:val="single"/>
        </w:rPr>
      </w:pPr>
      <w:r>
        <w:rPr>
          <w:b/>
          <w:bCs/>
          <w:u w:val="single"/>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4320" w:start="4320" w:end="0"/>
        <w:rPr/>
      </w:pPr>
      <w:r>
        <w:rPr>
          <w:b/>
          <w:u w:val="single"/>
        </w:rPr>
        <w:t>Conditions Precedent:</w:t>
      </w:r>
      <w:r>
        <w:rPr/>
        <w:tab/>
        <w:tab/>
        <w:t>(a) Nova, ANG and PGT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4320" w:end="0"/>
        <w:rPr/>
      </w:pPr>
      <w:r>
        <w:rPr/>
        <w:tab/>
        <w:tab/>
        <w:t xml:space="preserve">(b) Calpine shall provide all necessary documentation and credit covenants as required by PGT, Nova and ANG to facilitate the assignment.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4320" w:end="0"/>
        <w:rPr/>
      </w:pPr>
      <w:r>
        <w:rPr/>
        <w:tab/>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4320" w:end="0"/>
        <w:rPr/>
      </w:pPr>
      <w:r>
        <w:rPr/>
        <w:tab/>
        <w:tab/>
      </w:r>
    </w:p>
    <w:p>
      <w:pPr>
        <w:pStyle w:val="Normal"/>
        <w:tabs>
          <w:tab w:val="clear" w:pos="720"/>
          <w:tab w:val="left" w:pos="2880" w:leader="none"/>
        </w:tabs>
        <w:ind w:hanging="2880" w:start="4320" w:end="0"/>
        <w:rPr/>
      </w:pPr>
      <w:r>
        <w:rPr/>
      </w:r>
    </w:p>
    <w:p>
      <w:pPr>
        <w:pStyle w:val="Normal"/>
        <w:tabs>
          <w:tab w:val="clear" w:pos="720"/>
          <w:tab w:val="left" w:pos="2880" w:leader="none"/>
        </w:tabs>
        <w:ind w:hanging="2880" w:start="4320" w:end="0"/>
        <w:rPr/>
      </w:pPr>
      <w:r>
        <w:rPr/>
      </w:r>
    </w:p>
    <w:p>
      <w:pPr>
        <w:pStyle w:val="Normal"/>
        <w:ind w:end="720"/>
        <w:rPr>
          <w:b/>
          <w:bCs/>
          <w:u w:val="single"/>
        </w:rPr>
      </w:pPr>
      <w:r>
        <w:rPr>
          <w:b/>
          <w:bCs/>
          <w:u w:val="single"/>
        </w:rPr>
        <w:t xml:space="preserve">  </w:t>
      </w:r>
    </w:p>
    <w:p>
      <w:pPr>
        <w:pStyle w:val="Heading4"/>
        <w:rPr/>
      </w:pPr>
      <w:r>
        <w:rPr/>
        <w:t>Transportation II - EL Paso Natural Gas</w:t>
      </w:r>
    </w:p>
    <w:p>
      <w:pPr>
        <w:pStyle w:val="Header"/>
        <w:tabs>
          <w:tab w:val="clear" w:pos="4680"/>
          <w:tab w:val="clear" w:pos="9360"/>
        </w:tabs>
        <w:rPr/>
      </w:pPr>
      <w:r>
        <w:rPr/>
      </w:r>
    </w:p>
    <w:p>
      <w:pPr>
        <w:pStyle w:val="Header"/>
        <w:tabs>
          <w:tab w:val="clear" w:pos="4680"/>
          <w:tab w:val="clear" w:pos="9360"/>
        </w:tabs>
        <w:rPr/>
      </w:pPr>
      <w:r>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bCs/>
        </w:rPr>
        <w:t xml:space="preserve">Mid 2002 - May 31, 2006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tab/>
        <w:t xml:space="preserve">The capacity will be assigned on a permanent basis at 100% of full tolls and Calpine shall assume all obligations related to this capacity upon the approval and execution of the related transportation assignment documents as required by EPNG. </w:t>
      </w:r>
    </w:p>
    <w:p>
      <w:pPr>
        <w:pStyle w:val="BodyTextIndent"/>
        <w:rPr>
          <w:b/>
        </w:rPr>
      </w:pPr>
      <w:r>
        <w:rPr>
          <w:b/>
        </w:rPr>
        <w:tab/>
      </w:r>
    </w:p>
    <w:p>
      <w:pPr>
        <w:pStyle w:val="Normal"/>
        <w:tabs>
          <w:tab w:val="clear" w:pos="720"/>
          <w:tab w:val="left" w:pos="2880" w:leader="none"/>
        </w:tabs>
        <w:rPr/>
      </w:pPr>
      <w:r>
        <w:rPr>
          <w:b/>
          <w:u w:val="single"/>
        </w:rPr>
        <w:t>Delivered Volume:</w:t>
      </w:r>
      <w:r>
        <w:rPr>
          <w:b/>
        </w:rPr>
        <w:t xml:space="preserve"> </w:t>
        <w:tab/>
      </w:r>
      <w:r>
        <w:rPr>
          <w:bCs/>
        </w:rPr>
        <w:t>Up to 75,000</w:t>
      </w:r>
      <w:r>
        <w:rPr/>
        <w:t xml:space="preserve">  MMbtu/Day </w:t>
      </w:r>
    </w:p>
    <w:p>
      <w:pPr>
        <w:pStyle w:val="Header"/>
        <w:tabs>
          <w:tab w:val="clear" w:pos="4680"/>
          <w:tab w:val="clear" w:pos="9360"/>
          <w:tab w:val="left" w:pos="2880" w:leader="none"/>
        </w:tabs>
        <w:rPr/>
      </w:pPr>
      <w:r>
        <w:rPr/>
      </w:r>
    </w:p>
    <w:p>
      <w:pPr>
        <w:pStyle w:val="Normal"/>
        <w:rPr/>
      </w:pPr>
      <w:r>
        <w:rPr>
          <w:b/>
          <w:u w:val="single"/>
        </w:rPr>
        <w:t>Delivery Point:</w:t>
      </w:r>
      <w:r>
        <w:rPr>
          <w:b/>
        </w:rPr>
        <w:tab/>
        <w:tab/>
      </w:r>
      <w:r>
        <w:rPr/>
        <w:t>PG&amp;E /Topock</w:t>
      </w:r>
    </w:p>
    <w:p>
      <w:pPr>
        <w:pStyle w:val="Normal"/>
        <w:rPr/>
      </w:pPr>
      <w:r>
        <w:rPr/>
      </w:r>
    </w:p>
    <w:p>
      <w:pPr>
        <w:pStyle w:val="Normal"/>
        <w:rPr/>
      </w:pPr>
      <w:r>
        <w:rPr>
          <w:b/>
          <w:u w:val="single"/>
        </w:rPr>
        <w:t>Receipt Point:</w:t>
      </w:r>
      <w:r>
        <w:rPr>
          <w:b/>
        </w:rPr>
        <w:tab/>
        <w:tab/>
      </w:r>
      <w:r>
        <w:rPr/>
        <w:t>San Juan/Anadarko/ Permian</w:t>
      </w:r>
    </w:p>
    <w:p>
      <w:pPr>
        <w:pStyle w:val="Normal"/>
        <w:rPr>
          <w:b/>
        </w:rPr>
      </w:pPr>
      <w:r>
        <w:rPr>
          <w:b/>
        </w:rPr>
      </w:r>
    </w:p>
    <w:p>
      <w:pPr>
        <w:pStyle w:val="Normal"/>
        <w:rPr/>
      </w:pPr>
      <w:r>
        <w:rPr>
          <w:b/>
          <w:u w:val="single"/>
        </w:rPr>
        <w:t>PG&amp;E Recall Rights:</w:t>
      </w:r>
      <w:r>
        <w:rPr>
          <w:b/>
        </w:rPr>
        <w:tab/>
      </w:r>
      <w:r>
        <w:rPr>
          <w:bCs/>
        </w:rPr>
        <w:t>Yes</w:t>
      </w:r>
    </w:p>
    <w:p>
      <w:pPr>
        <w:pStyle w:val="Normal"/>
        <w:rPr>
          <w:b/>
          <w:bCs/>
        </w:rPr>
      </w:pPr>
      <w:r>
        <w:rPr>
          <w:b/>
          <w:bCs/>
        </w:rPr>
      </w:r>
    </w:p>
    <w:p>
      <w:pPr>
        <w:pStyle w:val="Normal"/>
        <w:rPr/>
      </w:pPr>
      <w:r>
        <w:rPr>
          <w:b/>
          <w:u w:val="single"/>
        </w:rPr>
        <w:t>Service Type:</w:t>
      </w:r>
      <w:r>
        <w:rPr/>
        <w:tab/>
        <w:tab/>
        <w:tab/>
        <w:t xml:space="preserve">Block II (18793) </w:t>
      </w:r>
    </w:p>
    <w:p>
      <w:pPr>
        <w:pStyle w:val="Normal"/>
        <w:rPr>
          <w:b/>
        </w:rPr>
      </w:pPr>
      <w:r>
        <w:rPr>
          <w:b/>
        </w:rPr>
      </w:r>
    </w:p>
    <w:p>
      <w:pPr>
        <w:pStyle w:val="Normal"/>
        <w:rPr/>
      </w:pPr>
      <w:r>
        <w:rPr>
          <w:b/>
          <w:u w:val="single"/>
        </w:rPr>
        <w:t>Assignee:</w:t>
      </w:r>
      <w:r>
        <w:rPr>
          <w:b/>
        </w:rPr>
        <w:tab/>
        <w:tab/>
        <w:tab/>
      </w:r>
      <w:r>
        <w:rPr/>
        <w:t>Calpine</w:t>
      </w:r>
    </w:p>
    <w:p>
      <w:pPr>
        <w:pStyle w:val="Normal"/>
        <w:rPr>
          <w:b/>
        </w:rPr>
      </w:pPr>
      <w:r>
        <w:rPr>
          <w:b/>
        </w:rPr>
      </w:r>
    </w:p>
    <w:p>
      <w:pPr>
        <w:pStyle w:val="Normal"/>
        <w:rPr/>
      </w:pPr>
      <w:r>
        <w:rPr>
          <w:b/>
          <w:u w:val="single"/>
        </w:rPr>
        <w:t>Assignor:</w:t>
      </w:r>
      <w:r>
        <w:rPr>
          <w:b/>
        </w:rPr>
        <w:tab/>
        <w:tab/>
        <w:tab/>
      </w:r>
      <w:r>
        <w:rPr/>
        <w:t>Enron North America</w:t>
      </w:r>
    </w:p>
    <w:p>
      <w:pPr>
        <w:pStyle w:val="Normal"/>
        <w:tabs>
          <w:tab w:val="clear" w:pos="720"/>
          <w:tab w:val="left" w:pos="2880" w:leader="none"/>
        </w:tabs>
        <w:rPr/>
      </w:pPr>
      <w:r>
        <w:rPr/>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ENA shall permanently assign capacity including all applicable renewal rights as available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bCs/>
          <w:u w:val="single"/>
        </w:rPr>
        <w:t>PG&amp;E Baja Capacity:</w:t>
      </w:r>
      <w:r>
        <w:rPr/>
        <w:t xml:space="preserve">          </w:t>
      </w:r>
      <w:r>
        <w:rPr>
          <w:b/>
          <w:bCs/>
        </w:rPr>
        <w:t>ENA is able to make available a matching amount of PG&amp;E Baja capacity to compliment the El Paso delivery capacity. Said PG&amp;E capacity is available through 2002.  Assignment fee to be determined.</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b/>
          <w:u w:val="single"/>
        </w:rPr>
        <w:t>Conditions Precedent:</w:t>
      </w:r>
      <w:r>
        <w:rPr/>
        <w:tab/>
        <w:t>(a) EPNG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Calpine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(d)  PG&amp;E shall confirm that Calpine satisfies the necessary creditworthiness requirements for the purposes of permitting the transfer of the Assigned Capacity to Calpine.</w:t>
      </w:r>
    </w:p>
    <w:p>
      <w:pPr>
        <w:pStyle w:val="Normal"/>
        <w:tabs>
          <w:tab w:val="clear" w:pos="720"/>
          <w:tab w:val="left" w:pos="2880" w:leader="none"/>
        </w:tabs>
        <w:ind w:hanging="2880" w:start="2880" w:end="0"/>
        <w:rPr/>
      </w:pPr>
      <w:r>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ELPASO</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2001-06-08T18:44:00Z</dcterms:created>
  <dc:creator>David R. Keyes</dc:creator>
  <dc:description/>
  <dc:language>en-CA</dc:language>
  <cp:lastModifiedBy>smiller2</cp:lastModifiedBy>
  <cp:lastPrinted>2001-06-08T15:19:00Z</cp:lastPrinted>
  <dcterms:modified xsi:type="dcterms:W3CDTF">2001-06-08T18:44:00Z</dcterms:modified>
  <cp:revision>2</cp:revision>
  <dc:subject/>
  <dc:title>SUMMARY OF TERMS AND CONDITIONS</dc:title>
</cp:coreProperties>
</file>