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38"/>
        <w:gridCol w:w="3690"/>
        <w:gridCol w:w="3528"/>
      </w:tblGrid>
      <w:tr>
        <w:trPr/>
        <w:tc>
          <w:tcPr>
            <w:tcW w:w="163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California</w:t>
            </w:r>
          </w:p>
        </w:tc>
        <w:tc>
          <w:tcPr>
            <w:tcW w:w="3528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Texas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Market Rules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ISO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 xml:space="preserve">Governance - Stakeholder </w:t>
            </w:r>
          </w:p>
          <w:p>
            <w:pPr>
              <w:pStyle w:val="Normal"/>
              <w:numPr>
                <w:ilvl w:val="0"/>
                <w:numId w:val="15"/>
              </w:numPr>
              <w:rPr/>
            </w:pPr>
            <w:r>
              <w:rPr/>
              <w:t>Fee - $0.15/MWH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 xml:space="preserve">Charge to maintain system security - Charge to maintain system security - may dispatch out of order merit. 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rPr/>
            </w:pPr>
            <w:r>
              <w:rPr/>
              <w:t xml:space="preserve">Governance - Stakeholder </w:t>
            </w:r>
          </w:p>
          <w:p>
            <w:pPr>
              <w:pStyle w:val="Normal"/>
              <w:numPr>
                <w:ilvl w:val="0"/>
                <w:numId w:val="9"/>
              </w:numPr>
              <w:rPr/>
            </w:pPr>
            <w:r>
              <w:rPr/>
              <w:t>Fee $0.80/MWH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>Publishes forecast for the day-ahead market.</w:t>
            </w:r>
          </w:p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/>
              <w:t xml:space="preserve">Charge to maintain system security - may dispatch out of order merit 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PX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1"/>
              </w:numPr>
              <w:rPr/>
            </w:pPr>
            <w:r>
              <w:rPr/>
              <w:t>July99 Utilities can buy forward from the PX</w:t>
            </w:r>
          </w:p>
          <w:p>
            <w:pPr>
              <w:pStyle w:val="Normal"/>
              <w:numPr>
                <w:ilvl w:val="0"/>
                <w:numId w:val="21"/>
              </w:numPr>
              <w:rPr/>
            </w:pPr>
            <w:r>
              <w:rPr/>
              <w:t xml:space="preserve">PUC approves Edison &amp; PG&amp;E under emergency order to engage in bilateral contracts, but scheduled through the PX </w:t>
            </w:r>
          </w:p>
          <w:p>
            <w:pPr>
              <w:pStyle w:val="Normal"/>
              <w:numPr>
                <w:ilvl w:val="0"/>
                <w:numId w:val="21"/>
              </w:numPr>
              <w:rPr/>
            </w:pPr>
            <w:r>
              <w:rPr/>
              <w:t>PX voted recently to lower the cap in the exchange to $350 per MWH (8/16)</w:t>
            </w:r>
          </w:p>
          <w:p>
            <w:pPr>
              <w:pStyle w:val="Normal"/>
              <w:numPr>
                <w:ilvl w:val="0"/>
                <w:numId w:val="21"/>
              </w:numPr>
              <w:rPr/>
            </w:pPr>
            <w:r>
              <w:rPr/>
              <w:t>Fee $____/ MWH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None - bilateral structure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SC (QSE)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 - Brings Ancillary Services, and schedules to the ISO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Acts like a mini exchange for the entities it represents.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 xml:space="preserve">Represents REPS and/or PGCs in schedules at the ISO.  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The only entity entitled to submit balanced schedules to the ISO.</w:t>
            </w:r>
          </w:p>
          <w:p>
            <w:pPr>
              <w:pStyle w:val="Normal"/>
              <w:numPr>
                <w:ilvl w:val="0"/>
                <w:numId w:val="10"/>
              </w:numPr>
              <w:rPr/>
            </w:pPr>
            <w:r>
              <w:rPr/>
              <w:t>Entity submitting Ancillary services in the scheduling process or submitting bids in the ancillary service market.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Price Caps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ISO - $250, PX - $350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None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RMR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Assigned by the ISO</w:t>
            </w:r>
          </w:p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Can be ordered by the ISO to run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Requested by the PGC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Can be ordered to run by the ISO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OOM (out of order merit)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4"/>
              </w:numPr>
              <w:rPr/>
            </w:pPr>
            <w:r>
              <w:rPr/>
              <w:t>ISO can accept higher bid units to run over less expensive for reliability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ISO can accept higher bid units to run over less expensive for reliability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Ancillary Services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napToGrid w:val="false"/>
              <w:rPr/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Self provided (limited), scheduled by QSE</w:t>
            </w:r>
          </w:p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 xml:space="preserve">QSE submits ancillary service bids to the ISO in the day-ahead  </w:t>
            </w:r>
          </w:p>
          <w:p>
            <w:pPr>
              <w:pStyle w:val="Normal"/>
              <w:numPr>
                <w:ilvl w:val="0"/>
                <w:numId w:val="20"/>
              </w:numPr>
              <w:rPr/>
            </w:pPr>
            <w:r>
              <w:rPr/>
              <w:t>Sequential clearing of bids, Reg. Up, Reg. Down, Responsive, Contingency reserve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Control Areas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Multiple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Single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Price Transparency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None - market-clearing prices published only.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Drafting publication of supply stack for all ISO markets cleared.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Provide loads the opportunity to respond to price signal, same as generators.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New Facilities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No incentive for new Transmission or cumbersome siting process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ISO identifies new transmission needs, which assists the PUC with Certification of Need and Necessity.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ISO can go out for bid of new transmission facilities if originating utility rejects of delays project progress. (process not tested yet)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Customer Registration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/switching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switching is performed by each utility under different rules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Customer switching performed by the ISO under standard rules under a centralized process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Regulatory Rules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 Certain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Full Competition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Pilot program then full competition</w:t>
            </w:r>
          </w:p>
          <w:p>
            <w:pPr>
              <w:pStyle w:val="Normal"/>
              <w:rPr/>
            </w:pPr>
            <w:r>
              <w:rPr/>
              <w:t>6-1-01, 1-1-02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Public Power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Municipals - opt out of joining the ISO and are not required to follow same market rules.</w:t>
            </w:r>
          </w:p>
          <w:p>
            <w:pPr>
              <w:pStyle w:val="Normal"/>
              <w:numPr>
                <w:ilvl w:val="0"/>
                <w:numId w:val="11"/>
              </w:numPr>
              <w:rPr/>
            </w:pPr>
            <w:r>
              <w:rPr/>
              <w:t>City of Vernon opt in to ISO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Municipals and Coops can opt out of retail competition, but must follow all the wholesale market rules of the ISO.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Structural Separation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Divestiture of fossil generation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Transmission Scheduling performed by the ISO</w:t>
            </w:r>
          </w:p>
          <w:p>
            <w:pPr>
              <w:pStyle w:val="Normal"/>
              <w:numPr>
                <w:ilvl w:val="0"/>
                <w:numId w:val="16"/>
              </w:numPr>
              <w:rPr/>
            </w:pPr>
            <w:r>
              <w:rPr/>
              <w:t>WireCo still in the merchant business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2"/>
              </w:numPr>
              <w:rPr/>
            </w:pPr>
            <w:r>
              <w:rPr/>
              <w:t>No divestiture</w:t>
            </w:r>
          </w:p>
          <w:p>
            <w:pPr>
              <w:pStyle w:val="Normal"/>
              <w:numPr>
                <w:ilvl w:val="0"/>
                <w:numId w:val="22"/>
              </w:numPr>
              <w:rPr/>
            </w:pPr>
            <w:r>
              <w:rPr/>
              <w:t xml:space="preserve">IOUs must place at least 15% of the installed capacity up for entitlement auction </w:t>
            </w:r>
          </w:p>
          <w:p>
            <w:pPr>
              <w:pStyle w:val="Normal"/>
              <w:numPr>
                <w:ilvl w:val="0"/>
                <w:numId w:val="22"/>
              </w:numPr>
              <w:rPr/>
            </w:pPr>
            <w:r>
              <w:rPr/>
              <w:t>Separation of WireCo, PGC, and REP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Mandated Price Reduction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Rates frozen at 1996 level</w:t>
            </w:r>
          </w:p>
          <w:p>
            <w:pPr>
              <w:pStyle w:val="Normal"/>
              <w:numPr>
                <w:ilvl w:val="0"/>
                <w:numId w:val="18"/>
              </w:numPr>
              <w:rPr/>
            </w:pPr>
            <w:r>
              <w:rPr/>
              <w:t>Grant 10% reduction to all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Rates frozen at 1999 level</w:t>
            </w:r>
          </w:p>
          <w:p>
            <w:pPr>
              <w:pStyle w:val="Normal"/>
              <w:numPr>
                <w:ilvl w:val="0"/>
                <w:numId w:val="12"/>
              </w:numPr>
              <w:rPr/>
            </w:pPr>
            <w:r>
              <w:rPr/>
              <w:t>Grant 6% rate reduction for customer &lt; 1 MW for 3 years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Stranded Cost Recovery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4"/>
              </w:numPr>
              <w:rPr/>
            </w:pPr>
            <w:r>
              <w:rPr/>
              <w:t>Variable based on PX price of MWH</w:t>
            </w:r>
          </w:p>
          <w:p>
            <w:pPr>
              <w:pStyle w:val="Normal"/>
              <w:numPr>
                <w:ilvl w:val="0"/>
                <w:numId w:val="24"/>
              </w:numPr>
              <w:rPr/>
            </w:pPr>
            <w:r>
              <w:rPr/>
              <w:t>No audit after the collection goal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 xml:space="preserve">Fixed charge / kwh </w:t>
            </w:r>
          </w:p>
          <w:p>
            <w:pPr>
              <w:pStyle w:val="Normal"/>
              <w:numPr>
                <w:ilvl w:val="0"/>
                <w:numId w:val="8"/>
              </w:numPr>
              <w:rPr/>
            </w:pPr>
            <w:r>
              <w:rPr/>
              <w:t>True up after two years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Revenue Cycle Services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Open on market opening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25"/>
              </w:numPr>
              <w:rPr/>
            </w:pPr>
            <w:r>
              <w:rPr/>
              <w:t>Billing open on market opening</w:t>
            </w:r>
          </w:p>
          <w:p>
            <w:pPr>
              <w:pStyle w:val="Normal"/>
              <w:numPr>
                <w:ilvl w:val="0"/>
                <w:numId w:val="25"/>
              </w:numPr>
              <w:rPr/>
            </w:pPr>
            <w:r>
              <w:rPr/>
              <w:t>Metering opens to commercial and industrial customers 2004, Residential customer 2005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Customer Education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Yes, before market opening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Yes, before market opening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Interconnection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3"/>
              </w:numPr>
              <w:rPr/>
            </w:pPr>
            <w:r>
              <w:rPr/>
              <w:t>Rules unique to each utility</w:t>
            </w:r>
          </w:p>
          <w:p>
            <w:pPr>
              <w:pStyle w:val="Normal"/>
              <w:numPr>
                <w:ilvl w:val="0"/>
                <w:numId w:val="23"/>
              </w:numPr>
              <w:rPr/>
            </w:pPr>
            <w:r>
              <w:rPr/>
              <w:t>Difficult and cumbersome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Standard system study process by  ISO, between 54 and 254 days, averaging 60-90 days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Favorable Standard Interconnection Agreement approved by the PUC for all ERCOT utilities.  Changes approved by consensus of both parties only.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Siting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Cumbersome</w:t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Function of water, gas, and transmission availability.</w:t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3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2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</w:abstractNum>
  <w:abstractNum w:abstractNumId="2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2000-08-18T13:11:00Z</dcterms:created>
  <dc:creator>Robin Kittel</dc:creator>
  <dc:description/>
  <dc:language>en-CA</dc:language>
  <cp:lastModifiedBy>Robin Kittel</cp:lastModifiedBy>
  <dcterms:modified xsi:type="dcterms:W3CDTF">2000-08-20T15:57:00Z</dcterms:modified>
  <cp:revision>12</cp:revision>
  <dc:subject/>
  <dc:title>California</dc:title>
</cp:coreProperties>
</file>