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3690"/>
        <w:gridCol w:w="3528"/>
      </w:tblGrid>
      <w:tr>
        <w:trPr/>
        <w:tc>
          <w:tcPr>
            <w:tcW w:w="163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California</w:t>
            </w:r>
          </w:p>
        </w:tc>
        <w:tc>
          <w:tcPr>
            <w:tcW w:w="35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Texas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Rules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ISO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 xml:space="preserve">Governance - Stakeholder </w:t>
            </w:r>
          </w:p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Fee - $0.15/MWH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 xml:space="preserve">Charge to maintain system security - Charge to maintain system security - may dispatch out of order merit. 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 xml:space="preserve">Governance - Stakeholder </w:t>
            </w:r>
          </w:p>
          <w:p>
            <w:pPr>
              <w:pStyle w:val="Normal"/>
              <w:rPr/>
            </w:pPr>
            <w:r>
              <w:rPr/>
              <w:t>Fee $0.80/MWH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Publishes forecast for the day ahead market.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 xml:space="preserve">Charge to maintain system security - may dispatch out of order merit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PX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July99 Utilities can buy forward from the PX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 xml:space="preserve">PUC approves Edison &amp; PG&amp;E under emergeny order to engage in bilateral contracts, but scheduled through the PX 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PX voted recently to lower the cap in the exchange to $350 per MWH (8/16)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Fee $   / MWH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None - bilateral structure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SC (QSE)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 - Brings Ancillary Services, and schedules to the ISO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Acts like a mini exchange for the entities it represents.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 xml:space="preserve">Represents REPS and/or PGCs in schedules at the ISO.  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The only entity entitled to submit balanced schedules to the ISO.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Entity submitting Ancillary services in the scheduling process or submitting bids in the ancillary service market.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Price Caps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ISO - $250, PX - $350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RMR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Assigned by the ISO</w:t>
            </w:r>
          </w:p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Can be ordered by the ISO to run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Requested by the PGC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Can be ordered to run by the ISO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Control Areas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Multiple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Single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Price Transparency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None - market-clearing prices published only.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Drafting publication of supply stack for all ISO markets cleared.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Provide loads the opportunity to respond to price signal, same as generators.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Facilities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incentive for new Transmission or cumbersome siting process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ISO identifies new transmission needs, which assists the PUC with Certification of Need and Necessity.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ISO can go out for bid of new transmission facilities if originating utility rejects of delays project progress. (process not tested yet)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Customer Registration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/switching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switching is performed by each utility under different rules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switching performed by the ISO under standard rules under a centralized process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Regulatory Rules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 Certain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Full Competition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Pilot program then full competition</w:t>
            </w:r>
          </w:p>
          <w:p>
            <w:pPr>
              <w:pStyle w:val="Normal"/>
              <w:rPr/>
            </w:pPr>
            <w:r>
              <w:rPr/>
              <w:t>6-1-01, 1-1-02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Public Power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Municipals - opt out of joining the ISO and are not required to follow same market rules.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City of Vernon opt in to ISO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Municipals and Coops can opt out of retail competition, but must follow all the wholesale market rules of the ISO.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Structural Separation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Divestiture of fossil generation</w:t>
            </w:r>
          </w:p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Transmission Scheduling performed by the ISO</w:t>
            </w:r>
          </w:p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WireCo still in the merchant business</w:t>
            </w:r>
          </w:p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Retail electric provider must be separate affiliate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No divestiture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 xml:space="preserve">IOUs must place at least 15% of the installed capacity up for entitlement auction 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Separation of wireco, genco, and merchant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Mandated Price Reduction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Rates frozen at 1996 level</w:t>
            </w:r>
          </w:p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Grant 10% reduction to all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Rates frozen at 1999 level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Grant 6% rate reduction for customer &lt; 1 MW for 3 years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Stranded Cost Recovery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Variable based on PX price of MWH</w:t>
            </w:r>
          </w:p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No audit after the collection goal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 xml:space="preserve">Fixed dollars 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Collection is based predominately on volumetric quantities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True up after two years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Revenue Cycle Services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Open on market opening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Billing open on market opening</w:t>
            </w:r>
          </w:p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Metering open to commercial and industrial customers 2004, Residential customer 2005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Customer Education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Yes, before market opening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Yes, before market opening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Interconnection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Rules unique to each utility</w:t>
            </w:r>
          </w:p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Difficult and cumbersome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Standard system study process by  ISO, between 54 and 254 days, averaging 60-90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Favorable Standard Interconnection Agreement approved by the PUC for all ERCOT utilities.  Changes approved by consensus of both parties only.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Siting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Cumbersome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Function of water, gas, and transmission availability.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2000-08-18T13:11:00Z</dcterms:created>
  <dc:creator>Robin Kittel</dc:creator>
  <dc:description/>
  <dc:language>en-CA</dc:language>
  <cp:lastModifiedBy>Robin Kittel</cp:lastModifiedBy>
  <dcterms:modified xsi:type="dcterms:W3CDTF">2000-08-18T22:17:00Z</dcterms:modified>
  <cp:revision>10</cp:revision>
  <dc:subject/>
  <dc:title>California</dc:title>
</cp:coreProperties>
</file>