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i/>
          <w:sz w:val="46"/>
          <w:lang w:val="en-CA"/>
        </w:rPr>
        <w:t xml:space="preserve">California’s </w:t>
      </w:r>
      <w:r>
        <w:rPr>
          <w:b/>
          <w:i/>
          <w:sz w:val="46"/>
        </w:rPr>
        <w:t xml:space="preserve">RED Index Profile </w:t>
      </w:r>
    </w:p>
    <w:p>
      <w:pPr>
        <w:pStyle w:val="Normal"/>
        <w:jc w:val="center"/>
        <w:rPr>
          <w:b/>
          <w:sz w:val="36"/>
        </w:rPr>
      </w:pPr>
      <w:r>
        <w:rPr>
          <w:b/>
          <w:sz w:val="36"/>
        </w:rPr>
        <w:t>Response Form</w:t>
      </w:r>
    </w:p>
    <w:p>
      <w:pPr>
        <w:pStyle w:val="Heading3"/>
        <w:ind w:hanging="0" w:start="0"/>
        <w:rPr>
          <w:b w:val="false"/>
          <w:sz w:val="36"/>
        </w:rPr>
      </w:pPr>
      <w:r>
        <w:rPr>
          <w:b w:val="false"/>
          <w:sz w:val="36"/>
        </w:rPr>
      </w:r>
    </w:p>
    <w:p>
      <w:pPr>
        <w:pStyle w:val="Normal"/>
        <w:rPr/>
      </w:pPr>
      <w:r>
        <w:rPr>
          <w:sz w:val="22"/>
        </w:rPr>
        <w:t xml:space="preserve">The chart below includes </w:t>
      </w:r>
      <w:r>
        <w:rPr>
          <w:sz w:val="22"/>
          <w:lang w:val="en-CA"/>
        </w:rPr>
        <w:t>California</w:t>
      </w:r>
      <w:r>
        <w:rPr/>
        <w:t>’s RED Index characterizations for 1998 to year end 2000 (included in the February 2001 Index).  In order to have the update completed by the NARUC Seattle Meeting in July, we would appreciate receiving your response by June 3 for any changes as of May 31, 2001.</w:t>
      </w:r>
    </w:p>
    <w:tbl>
      <w:tblPr>
        <w:tblW w:w="12978" w:type="dxa"/>
        <w:jc w:val="start"/>
        <w:tblInd w:w="198" w:type="dxa"/>
        <w:tblLayout w:type="fixed"/>
        <w:tblCellMar>
          <w:top w:w="0" w:type="dxa"/>
          <w:start w:w="108" w:type="dxa"/>
          <w:bottom w:w="0" w:type="dxa"/>
          <w:end w:w="108" w:type="dxa"/>
        </w:tblCellMar>
      </w:tblPr>
      <w:tblGrid>
        <w:gridCol w:w="8370"/>
        <w:gridCol w:w="4608"/>
      </w:tblGrid>
      <w:tr>
        <w:trPr/>
        <w:tc>
          <w:tcPr>
            <w:tcW w:w="8370" w:type="dxa"/>
            <w:tcBorders>
              <w:top w:val="single" w:sz="4" w:space="0" w:color="000000"/>
              <w:start w:val="single" w:sz="4" w:space="0" w:color="000000"/>
              <w:bottom w:val="single" w:sz="4" w:space="0" w:color="000000"/>
              <w:end w:val="single" w:sz="4" w:space="0" w:color="000000"/>
            </w:tcBorders>
          </w:tcPr>
          <w:p>
            <w:pPr>
              <w:pStyle w:val="Normal"/>
              <w:rPr>
                <w:b/>
                <w:i/>
                <w:i/>
                <w:sz w:val="22"/>
              </w:rPr>
            </w:pPr>
            <w:r>
              <w:rPr>
                <w:b/>
                <w:i/>
                <w:sz w:val="22"/>
              </w:rPr>
              <w:t>Current files the following person is our contact for the Electric RED Index</w:t>
            </w:r>
          </w:p>
        </w:tc>
        <w:tc>
          <w:tcPr>
            <w:tcW w:w="4608" w:type="dxa"/>
            <w:tcBorders>
              <w:top w:val="single" w:sz="4" w:space="0" w:color="000000"/>
              <w:start w:val="single" w:sz="4" w:space="0" w:color="000000"/>
              <w:bottom w:val="single" w:sz="4" w:space="0" w:color="000000"/>
              <w:end w:val="single" w:sz="4" w:space="0" w:color="000000"/>
            </w:tcBorders>
          </w:tcPr>
          <w:p>
            <w:pPr>
              <w:pStyle w:val="Normal"/>
              <w:rPr>
                <w:b/>
                <w:i/>
                <w:i/>
                <w:sz w:val="22"/>
              </w:rPr>
            </w:pPr>
            <w:r>
              <w:rPr>
                <w:b/>
                <w:i/>
                <w:sz w:val="22"/>
              </w:rPr>
              <w:t>Changes to Contact Information</w:t>
            </w:r>
          </w:p>
        </w:tc>
      </w:tr>
      <w:tr>
        <w:trPr/>
        <w:tc>
          <w:tcPr>
            <w:tcW w:w="837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 xml:space="preserve">NAME: </w:t>
              <w:tab/>
            </w:r>
            <w:r>
              <w:rPr>
                <w:b/>
                <w:sz w:val="22"/>
                <w:lang w:val="en-CA"/>
              </w:rPr>
              <w:t>Paul</w:t>
            </w:r>
            <w:r>
              <w:rPr>
                <w:b/>
                <w:sz w:val="22"/>
              </w:rPr>
              <w:t xml:space="preserve"> </w:t>
            </w:r>
            <w:r>
              <w:rPr>
                <w:b/>
                <w:sz w:val="22"/>
                <w:lang w:val="en-CA"/>
              </w:rPr>
              <w:t>Clanon</w:t>
            </w:r>
          </w:p>
          <w:p>
            <w:pPr>
              <w:pStyle w:val="Normal"/>
              <w:rPr>
                <w:sz w:val="22"/>
              </w:rPr>
            </w:pPr>
            <w:r>
              <w:rPr>
                <w:sz w:val="22"/>
              </w:rPr>
              <w:t>EMAIL:</w:t>
              <w:tab/>
            </w:r>
            <w:r>
              <w:rPr>
                <w:sz w:val="22"/>
                <w:lang w:val="en-CA"/>
              </w:rPr>
              <w:t>pac@cpuc.ca.gov</w:t>
            </w:r>
          </w:p>
          <w:p>
            <w:pPr>
              <w:pStyle w:val="Normal"/>
              <w:rPr>
                <w:sz w:val="22"/>
              </w:rPr>
            </w:pPr>
            <w:r>
              <w:rPr>
                <w:sz w:val="22"/>
              </w:rPr>
              <w:t>PHONE:</w:t>
              <w:tab/>
            </w:r>
            <w:r>
              <w:rPr>
                <w:sz w:val="22"/>
                <w:lang w:val="en-CA"/>
              </w:rPr>
              <w:t>4157032237</w:t>
            </w:r>
          </w:p>
        </w:tc>
        <w:tc>
          <w:tcPr>
            <w:tcW w:w="460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bl>
    <w:p>
      <w:pPr>
        <w:pStyle w:val="Heading3"/>
        <w:ind w:hanging="0" w:start="0"/>
        <w:rPr>
          <w:sz w:val="22"/>
        </w:rPr>
      </w:pPr>
      <w:r>
        <w:rPr>
          <w:sz w:val="22"/>
        </w:rPr>
      </w:r>
    </w:p>
    <w:p>
      <w:pPr>
        <w:pStyle w:val="Heading3"/>
        <w:ind w:hanging="0" w:start="0"/>
        <w:rPr/>
      </w:pPr>
      <w:r>
        <w:rPr>
          <w:b w:val="false"/>
        </w:rPr>
        <w:t xml:space="preserve">We have extended the analysis back to 1998; please make any corrections to those data, if necessary.  Do not make any changes in the shaded Characterization Columns.  </w:t>
      </w:r>
      <w:r>
        <w:rPr>
          <w:b w:val="false"/>
          <w:sz w:val="22"/>
        </w:rPr>
        <w:t xml:space="preserve">If we have correctly characterized </w:t>
      </w:r>
      <w:r>
        <w:rPr>
          <w:sz w:val="22"/>
          <w:lang w:val="en-CA"/>
        </w:rPr>
        <w:t>California</w:t>
      </w:r>
      <w:r>
        <w:rPr>
          <w:b w:val="false"/>
          <w:sz w:val="22"/>
        </w:rPr>
        <w:t xml:space="preserve">’s action in an attribute, leave the far right column BLANK. (We have included an attachment describing the 22 attributes and options as a reference.)  If we have </w:t>
      </w:r>
      <w:r>
        <w:rPr>
          <w:b w:val="false"/>
          <w:i/>
          <w:sz w:val="22"/>
        </w:rPr>
        <w:t>not correctly characterized</w:t>
      </w:r>
      <w:r>
        <w:rPr>
          <w:b w:val="false"/>
          <w:sz w:val="22"/>
        </w:rPr>
        <w:t xml:space="preserve"> an attribute, please list the correct characterization in the far right column with an explanation for the change.  If you need to change prior year characterizations, please note in the far right column the year that you are changing as necessary and include the explanation in a note after the table.  If there are citations (web accessible preferred) to Commission or legislative authority, please include those in the far right column, or in a note below.  If the citation applies to more than one attribute, you can list all relevant attribute numbers with the citation.  If you would like to make comments to explain your corrections, please do so in the right hand column or in a note after the table.   If a characterization is likely to change over the next year due to the triggering of an implementation date or an anticipated Commission action, please explain that in a note after the table.</w:t>
      </w:r>
    </w:p>
    <w:p>
      <w:pPr>
        <w:pStyle w:val="Normal"/>
        <w:rPr>
          <w:b/>
          <w:sz w:val="22"/>
        </w:rPr>
      </w:pPr>
      <w:r>
        <w:rPr>
          <w:b/>
          <w:sz w:val="22"/>
        </w:rPr>
      </w:r>
    </w:p>
    <w:p>
      <w:pPr>
        <w:pStyle w:val="BodyText"/>
        <w:rPr>
          <w:b w:val="false"/>
          <w:sz w:val="22"/>
        </w:rPr>
      </w:pPr>
      <w:r>
        <w:rPr>
          <w:b w:val="false"/>
          <w:sz w:val="22"/>
        </w:rPr>
        <w:t>In an effort to communicate the critical issues relating to energy restructuring to the widest possible audience, we would appreciate your response to the following questions:</w:t>
      </w:r>
    </w:p>
    <w:p>
      <w:pPr>
        <w:pStyle w:val="BodyText2"/>
        <w:rPr/>
      </w:pPr>
      <w:r>
        <w:rPr/>
        <w:t>True or False  (use your best judgment on the general applicability of the following statements to most of the people in your commission)</w:t>
      </w:r>
    </w:p>
    <w:tbl>
      <w:tblPr>
        <w:tblW w:w="13338" w:type="dxa"/>
        <w:jc w:val="start"/>
        <w:tblInd w:w="0" w:type="dxa"/>
        <w:tblLayout w:type="fixed"/>
        <w:tblCellMar>
          <w:top w:w="0" w:type="dxa"/>
          <w:start w:w="108" w:type="dxa"/>
          <w:bottom w:w="0" w:type="dxa"/>
          <w:end w:w="108" w:type="dxa"/>
        </w:tblCellMar>
      </w:tblPr>
      <w:tblGrid>
        <w:gridCol w:w="468"/>
        <w:gridCol w:w="10260"/>
        <w:gridCol w:w="720"/>
        <w:gridCol w:w="810"/>
        <w:gridCol w:w="1080"/>
      </w:tblGrid>
      <w:tr>
        <w:trPr/>
        <w:tc>
          <w:tcPr>
            <w:tcW w:w="468"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i/>
                <w:i/>
                <w:sz w:val="22"/>
              </w:rPr>
            </w:pPr>
            <w:r>
              <w:rPr>
                <w:i/>
                <w:sz w:val="22"/>
              </w:rPr>
            </w:r>
          </w:p>
        </w:tc>
        <w:tc>
          <w:tcPr>
            <w:tcW w:w="10260" w:type="dxa"/>
            <w:tcBorders>
              <w:top w:val="single" w:sz="4" w:space="0" w:color="000000"/>
              <w:start w:val="single" w:sz="4" w:space="0" w:color="000000"/>
              <w:bottom w:val="single" w:sz="4" w:space="0" w:color="000000"/>
              <w:end w:val="single" w:sz="4" w:space="0" w:color="000000"/>
            </w:tcBorders>
          </w:tcPr>
          <w:p>
            <w:pPr>
              <w:pStyle w:val="BodyText2"/>
              <w:jc w:val="center"/>
              <w:rPr>
                <w:i/>
                <w:i/>
                <w:sz w:val="22"/>
              </w:rPr>
            </w:pPr>
            <w:r>
              <w:rPr>
                <w:i/>
                <w:sz w:val="22"/>
              </w:rPr>
              <w:t>Statement</w:t>
            </w:r>
          </w:p>
        </w:tc>
        <w:tc>
          <w:tcPr>
            <w:tcW w:w="720" w:type="dxa"/>
            <w:tcBorders>
              <w:top w:val="single" w:sz="4" w:space="0" w:color="000000"/>
              <w:start w:val="single" w:sz="4" w:space="0" w:color="000000"/>
              <w:bottom w:val="single" w:sz="4" w:space="0" w:color="000000"/>
              <w:end w:val="single" w:sz="4" w:space="0" w:color="000000"/>
            </w:tcBorders>
          </w:tcPr>
          <w:p>
            <w:pPr>
              <w:pStyle w:val="BodyText2"/>
              <w:jc w:val="center"/>
              <w:rPr>
                <w:i/>
                <w:i/>
                <w:sz w:val="22"/>
              </w:rPr>
            </w:pPr>
            <w:r>
              <w:rPr>
                <w:i/>
                <w:sz w:val="22"/>
              </w:rPr>
              <w:t>True</w:t>
            </w:r>
          </w:p>
        </w:tc>
        <w:tc>
          <w:tcPr>
            <w:tcW w:w="810" w:type="dxa"/>
            <w:tcBorders>
              <w:top w:val="single" w:sz="4" w:space="0" w:color="000000"/>
              <w:start w:val="single" w:sz="4" w:space="0" w:color="000000"/>
              <w:bottom w:val="single" w:sz="4" w:space="0" w:color="000000"/>
              <w:end w:val="single" w:sz="4" w:space="0" w:color="000000"/>
            </w:tcBorders>
          </w:tcPr>
          <w:p>
            <w:pPr>
              <w:pStyle w:val="BodyText2"/>
              <w:jc w:val="center"/>
              <w:rPr>
                <w:i/>
                <w:i/>
                <w:sz w:val="22"/>
              </w:rPr>
            </w:pPr>
            <w:r>
              <w:rPr>
                <w:i/>
                <w:sz w:val="22"/>
              </w:rPr>
              <w:t>False</w:t>
            </w:r>
          </w:p>
        </w:tc>
        <w:tc>
          <w:tcPr>
            <w:tcW w:w="1080" w:type="dxa"/>
            <w:tcBorders>
              <w:top w:val="single" w:sz="4" w:space="0" w:color="000000"/>
              <w:start w:val="single" w:sz="4" w:space="0" w:color="000000"/>
              <w:bottom w:val="single" w:sz="4" w:space="0" w:color="000000"/>
              <w:end w:val="single" w:sz="4" w:space="0" w:color="000000"/>
            </w:tcBorders>
          </w:tcPr>
          <w:p>
            <w:pPr>
              <w:pStyle w:val="BodyText2"/>
              <w:jc w:val="center"/>
              <w:rPr>
                <w:i/>
                <w:i/>
                <w:sz w:val="22"/>
              </w:rPr>
            </w:pPr>
            <w:r>
              <w:rPr>
                <w:i/>
                <w:sz w:val="22"/>
              </w:rPr>
              <w:t>No Opinion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1</w:t>
            </w:r>
          </w:p>
        </w:tc>
        <w:tc>
          <w:tcPr>
            <w:tcW w:w="10260"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My state commission seems less likely to take action on energy restructuring as a result of the California Crisis.</w:t>
            </w:r>
          </w:p>
        </w:tc>
        <w:tc>
          <w:tcPr>
            <w:tcW w:w="72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81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2</w:t>
            </w:r>
          </w:p>
        </w:tc>
        <w:tc>
          <w:tcPr>
            <w:tcW w:w="10260"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The Bush Energy Plan is generally viewed by my state commission as not relevant to our efforts on energy restructuring</w:t>
            </w:r>
          </w:p>
        </w:tc>
        <w:tc>
          <w:tcPr>
            <w:tcW w:w="72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81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3</w:t>
            </w:r>
          </w:p>
        </w:tc>
        <w:tc>
          <w:tcPr>
            <w:tcW w:w="10260"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FERC should be given similar authority over siting electric transmission facilities that it has over natural gas pipelines (this would preempt many states from exercising jurisdiction over building transmission facilities).</w:t>
            </w:r>
          </w:p>
        </w:tc>
        <w:tc>
          <w:tcPr>
            <w:tcW w:w="72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81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4</w:t>
            </w:r>
          </w:p>
        </w:tc>
        <w:tc>
          <w:tcPr>
            <w:tcW w:w="10260"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My state commission has adequate budget and staffing to make progress on energy restructuring.</w:t>
            </w:r>
          </w:p>
        </w:tc>
        <w:tc>
          <w:tcPr>
            <w:tcW w:w="72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81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5</w:t>
            </w:r>
          </w:p>
        </w:tc>
        <w:tc>
          <w:tcPr>
            <w:tcW w:w="10260"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 xml:space="preserve">My state commission has adequate access to helpful analytical tools, e.g. models, standards for market power, studies on what works in other states, to accomplish energy restructuring. </w:t>
            </w:r>
          </w:p>
        </w:tc>
        <w:tc>
          <w:tcPr>
            <w:tcW w:w="72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81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6</w:t>
            </w:r>
          </w:p>
        </w:tc>
        <w:tc>
          <w:tcPr>
            <w:tcW w:w="10260"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My state commission is aware of the recommendations to establish uniform business practices.</w:t>
            </w:r>
          </w:p>
        </w:tc>
        <w:tc>
          <w:tcPr>
            <w:tcW w:w="72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81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r>
      <w:tr>
        <w:trPr/>
        <w:tc>
          <w:tcPr>
            <w:tcW w:w="468"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7</w:t>
            </w:r>
          </w:p>
        </w:tc>
        <w:tc>
          <w:tcPr>
            <w:tcW w:w="10260" w:type="dxa"/>
            <w:tcBorders>
              <w:top w:val="single" w:sz="4" w:space="0" w:color="000000"/>
              <w:start w:val="single" w:sz="4" w:space="0" w:color="000000"/>
              <w:bottom w:val="single" w:sz="4" w:space="0" w:color="000000"/>
              <w:end w:val="single" w:sz="4" w:space="0" w:color="000000"/>
            </w:tcBorders>
          </w:tcPr>
          <w:p>
            <w:pPr>
              <w:pStyle w:val="BodyText2"/>
              <w:rPr>
                <w:sz w:val="22"/>
              </w:rPr>
            </w:pPr>
            <w:r>
              <w:rPr>
                <w:sz w:val="22"/>
              </w:rPr>
              <w:t>My state commission is generally supportive of the recommendations to establish uniform business practices.</w:t>
            </w:r>
          </w:p>
        </w:tc>
        <w:tc>
          <w:tcPr>
            <w:tcW w:w="72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81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BodyText2"/>
              <w:snapToGrid w:val="false"/>
              <w:rPr>
                <w:sz w:val="22"/>
              </w:rPr>
            </w:pPr>
            <w:r>
              <w:rPr>
                <w:sz w:val="22"/>
              </w:rPr>
            </w:r>
          </w:p>
        </w:tc>
      </w:tr>
    </w:tbl>
    <w:p>
      <w:pPr>
        <w:pStyle w:val="BodyText2"/>
        <w:rPr>
          <w:sz w:val="22"/>
        </w:rPr>
      </w:pPr>
      <w:r>
        <w:rPr>
          <w:sz w:val="22"/>
        </w:rPr>
      </w:r>
    </w:p>
    <w:p>
      <w:pPr>
        <w:pStyle w:val="BodyText2"/>
        <w:rPr>
          <w:sz w:val="22"/>
        </w:rPr>
      </w:pPr>
      <w:r>
        <w:rPr>
          <w:sz w:val="22"/>
        </w:rPr>
        <w:t>Please answer the following questions.</w:t>
      </w:r>
    </w:p>
    <w:p>
      <w:pPr>
        <w:pStyle w:val="Normal"/>
        <w:numPr>
          <w:ilvl w:val="0"/>
          <w:numId w:val="12"/>
        </w:numPr>
        <w:rPr>
          <w:sz w:val="22"/>
        </w:rPr>
      </w:pPr>
      <w:r>
        <w:rPr>
          <w:sz w:val="22"/>
        </w:rPr>
        <w:t>What has been the biggest surprise in energy restructuring?</w:t>
      </w:r>
    </w:p>
    <w:p>
      <w:pPr>
        <w:pStyle w:val="Normal"/>
        <w:rPr>
          <w:sz w:val="22"/>
        </w:rPr>
      </w:pPr>
      <w:r>
        <w:rPr>
          <w:sz w:val="22"/>
        </w:rPr>
      </w:r>
    </w:p>
    <w:p>
      <w:pPr>
        <w:pStyle w:val="Normal"/>
        <w:numPr>
          <w:ilvl w:val="0"/>
          <w:numId w:val="12"/>
        </w:numPr>
        <w:rPr>
          <w:sz w:val="22"/>
        </w:rPr>
      </w:pPr>
      <w:r>
        <w:rPr>
          <w:sz w:val="22"/>
        </w:rPr>
        <w:t>What is the biggest obstacle to energy restructuring?</w:t>
      </w:r>
    </w:p>
    <w:p>
      <w:pPr>
        <w:pStyle w:val="Normal"/>
        <w:rPr>
          <w:sz w:val="22"/>
        </w:rPr>
      </w:pPr>
      <w:r>
        <w:rPr>
          <w:sz w:val="22"/>
        </w:rPr>
      </w:r>
    </w:p>
    <w:p>
      <w:pPr>
        <w:pStyle w:val="Normal"/>
        <w:numPr>
          <w:ilvl w:val="0"/>
          <w:numId w:val="12"/>
        </w:numPr>
        <w:rPr>
          <w:sz w:val="22"/>
        </w:rPr>
      </w:pPr>
      <w:r>
        <w:rPr>
          <w:sz w:val="22"/>
        </w:rPr>
        <w:t>What could the Federal government do that would be of greatest assistance to state commissions in energy restructuring?</w:t>
      </w:r>
    </w:p>
    <w:p>
      <w:pPr>
        <w:pStyle w:val="Normal"/>
        <w:rPr>
          <w:sz w:val="22"/>
        </w:rPr>
      </w:pPr>
      <w:r>
        <w:rPr>
          <w:sz w:val="22"/>
        </w:rPr>
      </w:r>
    </w:p>
    <w:p>
      <w:pPr>
        <w:pStyle w:val="Normal"/>
        <w:numPr>
          <w:ilvl w:val="0"/>
          <w:numId w:val="12"/>
        </w:numPr>
        <w:rPr>
          <w:sz w:val="22"/>
        </w:rPr>
      </w:pPr>
      <w:r>
        <w:rPr>
          <w:sz w:val="22"/>
        </w:rPr>
        <w:t>What could the Center for the Advancement of Energy Markets do that would be of greatest assistance to state commissions in energy restructuring?</w:t>
      </w:r>
    </w:p>
    <w:p>
      <w:pPr>
        <w:pStyle w:val="Normal"/>
        <w:rPr>
          <w:sz w:val="22"/>
        </w:rPr>
      </w:pPr>
      <w:r>
        <w:rPr>
          <w:sz w:val="22"/>
        </w:rPr>
      </w:r>
    </w:p>
    <w:p>
      <w:pPr>
        <w:pStyle w:val="BodyText2"/>
        <w:rPr/>
      </w:pPr>
      <w:r>
        <w:rPr>
          <w:b/>
          <w:sz w:val="22"/>
        </w:rPr>
        <w:t>Thank you for your responses to the survey and the mid-year Update to the RED Index.  Please return this document to Nancy Etkin (</w:t>
      </w:r>
      <w:hyperlink r:id="rId2">
        <w:r>
          <w:rPr>
            <w:rStyle w:val="Hyperlink"/>
            <w:sz w:val="22"/>
          </w:rPr>
          <w:t>netkin@caem.org</w:t>
        </w:r>
      </w:hyperlink>
      <w:r>
        <w:rPr>
          <w:b/>
          <w:sz w:val="22"/>
        </w:rPr>
        <w:t>) by June 3, 2001.</w:t>
      </w:r>
    </w:p>
    <w:tbl>
      <w:tblPr>
        <w:tblW w:w="13788" w:type="dxa"/>
        <w:jc w:val="start"/>
        <w:tblInd w:w="0" w:type="dxa"/>
        <w:tblLayout w:type="fixed"/>
        <w:tblCellMar>
          <w:top w:w="0" w:type="dxa"/>
          <w:start w:w="108" w:type="dxa"/>
          <w:bottom w:w="0" w:type="dxa"/>
          <w:end w:w="108" w:type="dxa"/>
        </w:tblCellMar>
      </w:tblPr>
      <w:tblGrid>
        <w:gridCol w:w="2808"/>
        <w:gridCol w:w="1620"/>
        <w:gridCol w:w="1710"/>
        <w:gridCol w:w="1845"/>
        <w:gridCol w:w="1845"/>
        <w:gridCol w:w="3960"/>
      </w:tblGrid>
      <w:tr>
        <w:trPr/>
        <w:tc>
          <w:tcPr>
            <w:tcW w:w="2808" w:type="dxa"/>
            <w:tcBorders/>
            <w:shd w:fill="800000" w:val="clear"/>
          </w:tcPr>
          <w:p>
            <w:pPr>
              <w:pStyle w:val="Heading2"/>
              <w:spacing w:before="0" w:after="0"/>
              <w:ind w:hanging="0" w:start="0"/>
              <w:jc w:val="center"/>
              <w:rPr>
                <w:rFonts w:ascii="Times New Roman" w:hAnsi="Times New Roman" w:cs="Times New Roman"/>
                <w:b/>
                <w:i/>
                <w:i/>
                <w:color w:val="FFFFFF"/>
                <w:sz w:val="22"/>
              </w:rPr>
            </w:pPr>
            <w:r>
              <w:rPr>
                <w:b/>
                <w:i/>
                <w:color w:val="FFFFFF"/>
                <w:sz w:val="42"/>
                <w:lang w:val="en-CA"/>
              </w:rPr>
              <w:t>California</w:t>
            </w:r>
          </w:p>
        </w:tc>
        <w:tc>
          <w:tcPr>
            <w:tcW w:w="1620" w:type="dxa"/>
            <w:tcBorders/>
            <w:shd w:fill="800000" w:val="clear"/>
          </w:tcPr>
          <w:p>
            <w:pPr>
              <w:pStyle w:val="Normal"/>
              <w:jc w:val="center"/>
              <w:rPr>
                <w:b/>
                <w:i/>
                <w:i/>
                <w:color w:val="FFFFFF"/>
              </w:rPr>
            </w:pPr>
            <w:r>
              <w:rPr>
                <w:b/>
                <w:i/>
                <w:color w:val="FFFFFF"/>
              </w:rPr>
              <w:t>1997</w:t>
            </w:r>
          </w:p>
          <w:p>
            <w:pPr>
              <w:pStyle w:val="Normal"/>
              <w:jc w:val="center"/>
              <w:rPr>
                <w:b/>
                <w:i/>
                <w:i/>
                <w:color w:val="FFFFFF"/>
              </w:rPr>
            </w:pPr>
            <w:r>
              <w:rPr>
                <w:b/>
                <w:i/>
                <w:color w:val="FFFFFF"/>
              </w:rPr>
              <w:t>Characterization</w:t>
            </w:r>
          </w:p>
        </w:tc>
        <w:tc>
          <w:tcPr>
            <w:tcW w:w="1710" w:type="dxa"/>
            <w:tcBorders/>
            <w:shd w:fill="800000" w:val="clear"/>
          </w:tcPr>
          <w:p>
            <w:pPr>
              <w:pStyle w:val="Normal"/>
              <w:jc w:val="center"/>
              <w:rPr>
                <w:b/>
                <w:i/>
                <w:i/>
                <w:color w:val="FFFFFF"/>
              </w:rPr>
            </w:pPr>
            <w:r>
              <w:rPr>
                <w:b/>
                <w:i/>
                <w:color w:val="FFFFFF"/>
              </w:rPr>
              <w:t xml:space="preserve">1998 </w:t>
            </w:r>
          </w:p>
          <w:p>
            <w:pPr>
              <w:pStyle w:val="Normal"/>
              <w:jc w:val="center"/>
              <w:rPr>
                <w:b/>
                <w:i/>
                <w:i/>
                <w:color w:val="FFFFFF"/>
              </w:rPr>
            </w:pPr>
            <w:r>
              <w:rPr>
                <w:b/>
                <w:i/>
                <w:color w:val="FFFFFF"/>
              </w:rPr>
              <w:t>Characterization</w:t>
            </w:r>
          </w:p>
        </w:tc>
        <w:tc>
          <w:tcPr>
            <w:tcW w:w="1845" w:type="dxa"/>
            <w:tcBorders/>
            <w:shd w:fill="800000" w:val="clear"/>
          </w:tcPr>
          <w:p>
            <w:pPr>
              <w:pStyle w:val="Normal"/>
              <w:jc w:val="center"/>
              <w:rPr>
                <w:b/>
                <w:i/>
                <w:i/>
                <w:color w:val="FFFFFF"/>
              </w:rPr>
            </w:pPr>
            <w:r>
              <w:rPr>
                <w:b/>
                <w:i/>
                <w:color w:val="FFFFFF"/>
              </w:rPr>
              <w:t xml:space="preserve">1999 </w:t>
            </w:r>
          </w:p>
          <w:p>
            <w:pPr>
              <w:pStyle w:val="Normal"/>
              <w:jc w:val="center"/>
              <w:rPr>
                <w:b/>
                <w:i/>
                <w:i/>
                <w:color w:val="FFFFFF"/>
              </w:rPr>
            </w:pPr>
            <w:r>
              <w:rPr>
                <w:b/>
                <w:i/>
                <w:color w:val="FFFFFF"/>
              </w:rPr>
              <w:t>Characterization</w:t>
            </w:r>
          </w:p>
        </w:tc>
        <w:tc>
          <w:tcPr>
            <w:tcW w:w="1845" w:type="dxa"/>
            <w:tcBorders/>
            <w:shd w:fill="800000" w:val="clear"/>
          </w:tcPr>
          <w:p>
            <w:pPr>
              <w:pStyle w:val="Normal"/>
              <w:jc w:val="center"/>
              <w:rPr>
                <w:b/>
                <w:i/>
                <w:i/>
                <w:color w:val="FFFFFF"/>
              </w:rPr>
            </w:pPr>
            <w:r>
              <w:rPr>
                <w:b/>
                <w:i/>
                <w:color w:val="FFFFFF"/>
              </w:rPr>
              <w:t xml:space="preserve">2000 </w:t>
            </w:r>
          </w:p>
          <w:p>
            <w:pPr>
              <w:pStyle w:val="Normal"/>
              <w:jc w:val="center"/>
              <w:rPr>
                <w:b/>
                <w:i/>
                <w:i/>
                <w:color w:val="FFFFFF"/>
              </w:rPr>
            </w:pPr>
            <w:r>
              <w:rPr>
                <w:b/>
                <w:i/>
                <w:color w:val="FFFFFF"/>
              </w:rPr>
              <w:t>Characterization</w:t>
            </w:r>
          </w:p>
        </w:tc>
        <w:tc>
          <w:tcPr>
            <w:tcW w:w="3960" w:type="dxa"/>
            <w:tcBorders/>
            <w:shd w:fill="800000" w:val="clear"/>
          </w:tcPr>
          <w:p>
            <w:pPr>
              <w:pStyle w:val="Normal"/>
              <w:jc w:val="center"/>
              <w:rPr>
                <w:b/>
                <w:i/>
                <w:i/>
                <w:color w:val="FFFFFF"/>
                <w:sz w:val="22"/>
              </w:rPr>
            </w:pPr>
            <w:r>
              <w:rPr>
                <w:b/>
                <w:i/>
                <w:color w:val="FFFFFF"/>
                <w:sz w:val="22"/>
              </w:rPr>
              <w:t>New Characterization for</w:t>
            </w:r>
          </w:p>
          <w:p>
            <w:pPr>
              <w:pStyle w:val="Normal"/>
              <w:jc w:val="center"/>
              <w:rPr>
                <w:b/>
                <w:i/>
                <w:i/>
                <w:color w:val="FFFFFF"/>
                <w:sz w:val="22"/>
              </w:rPr>
            </w:pPr>
            <w:r>
              <w:rPr>
                <w:b/>
                <w:i/>
                <w:color w:val="FFFFFF"/>
                <w:sz w:val="22"/>
              </w:rPr>
              <w:t xml:space="preserve"> </w:t>
            </w:r>
            <w:r>
              <w:rPr>
                <w:b/>
                <w:i/>
                <w:color w:val="FFFFFF"/>
                <w:sz w:val="22"/>
              </w:rPr>
              <w:t>changes as of May 31</w:t>
            </w:r>
          </w:p>
        </w:tc>
      </w:tr>
      <w:tr>
        <w:trPr/>
        <w:tc>
          <w:tcPr>
            <w:tcW w:w="2808" w:type="dxa"/>
            <w:tcBorders/>
            <w:shd w:fill="FFFFCC" w:val="clear"/>
          </w:tcPr>
          <w:p>
            <w:pPr>
              <w:pStyle w:val="Normal"/>
              <w:rPr>
                <w:sz w:val="22"/>
              </w:rPr>
            </w:pPr>
            <w:r>
              <w:rPr>
                <w:sz w:val="22"/>
              </w:rPr>
              <w:t>1. Plan</w:t>
            </w:r>
          </w:p>
        </w:tc>
        <w:tc>
          <w:tcPr>
            <w:tcW w:w="1620" w:type="dxa"/>
            <w:tcBorders/>
            <w:shd w:fill="CCCCCC" w:val="clear"/>
          </w:tcPr>
          <w:p>
            <w:pPr>
              <w:pStyle w:val="Normal"/>
              <w:rPr>
                <w:sz w:val="22"/>
              </w:rPr>
            </w:pPr>
            <w:r>
              <w:rPr>
                <w:sz w:val="22"/>
                <w:lang w:val="en-CA"/>
              </w:rPr>
              <w:t>Policy</w:t>
            </w:r>
          </w:p>
        </w:tc>
        <w:tc>
          <w:tcPr>
            <w:tcW w:w="1710" w:type="dxa"/>
            <w:tcBorders/>
            <w:shd w:fill="CCCCCC" w:val="clear"/>
          </w:tcPr>
          <w:p>
            <w:pPr>
              <w:pStyle w:val="Normal"/>
              <w:rPr>
                <w:sz w:val="22"/>
              </w:rPr>
            </w:pPr>
            <w:r>
              <w:rPr>
                <w:sz w:val="22"/>
                <w:lang w:val="en-CA"/>
              </w:rPr>
              <w:t>Detail</w:t>
            </w:r>
          </w:p>
        </w:tc>
        <w:tc>
          <w:tcPr>
            <w:tcW w:w="1845" w:type="dxa"/>
            <w:tcBorders/>
            <w:shd w:fill="CCCCCC" w:val="clear"/>
          </w:tcPr>
          <w:p>
            <w:pPr>
              <w:pStyle w:val="Normal"/>
              <w:rPr>
                <w:sz w:val="22"/>
              </w:rPr>
            </w:pPr>
            <w:r>
              <w:rPr>
                <w:sz w:val="22"/>
                <w:lang w:val="en-CA"/>
              </w:rPr>
              <w:t>Detail</w:t>
            </w:r>
          </w:p>
        </w:tc>
        <w:tc>
          <w:tcPr>
            <w:tcW w:w="1845" w:type="dxa"/>
            <w:tcBorders/>
            <w:shd w:fill="CCCCCC" w:val="clear"/>
          </w:tcPr>
          <w:p>
            <w:pPr>
              <w:pStyle w:val="Normal"/>
              <w:rPr>
                <w:sz w:val="22"/>
              </w:rPr>
            </w:pPr>
            <w:r>
              <w:rPr>
                <w:sz w:val="22"/>
                <w:lang w:val="en-CA"/>
              </w:rPr>
              <w:t>Detail</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2. % Eligible</w:t>
            </w:r>
          </w:p>
        </w:tc>
        <w:tc>
          <w:tcPr>
            <w:tcW w:w="1620" w:type="dxa"/>
            <w:tcBorders/>
            <w:shd w:fill="CCCCCC" w:val="clear"/>
          </w:tcPr>
          <w:p>
            <w:pPr>
              <w:pStyle w:val="Normal"/>
              <w:rPr>
                <w:sz w:val="22"/>
              </w:rPr>
            </w:pPr>
            <w:r>
              <w:rPr>
                <w:sz w:val="22"/>
                <w:lang w:val="en-CA"/>
              </w:rPr>
              <w:t>0</w:t>
            </w:r>
          </w:p>
        </w:tc>
        <w:tc>
          <w:tcPr>
            <w:tcW w:w="1710" w:type="dxa"/>
            <w:tcBorders/>
            <w:shd w:fill="CCCCCC" w:val="clear"/>
          </w:tcPr>
          <w:p>
            <w:pPr>
              <w:pStyle w:val="Normal"/>
              <w:rPr>
                <w:sz w:val="22"/>
              </w:rPr>
            </w:pPr>
            <w:r>
              <w:rPr>
                <w:sz w:val="22"/>
                <w:lang w:val="en-CA"/>
              </w:rPr>
              <w:t>100</w:t>
            </w:r>
          </w:p>
        </w:tc>
        <w:tc>
          <w:tcPr>
            <w:tcW w:w="1845" w:type="dxa"/>
            <w:tcBorders/>
            <w:shd w:fill="CCCCCC" w:val="clear"/>
          </w:tcPr>
          <w:p>
            <w:pPr>
              <w:pStyle w:val="Normal"/>
              <w:rPr>
                <w:sz w:val="22"/>
              </w:rPr>
            </w:pPr>
            <w:r>
              <w:rPr>
                <w:sz w:val="22"/>
                <w:lang w:val="en-CA"/>
              </w:rPr>
              <w:t>100</w:t>
            </w:r>
          </w:p>
        </w:tc>
        <w:tc>
          <w:tcPr>
            <w:tcW w:w="1845" w:type="dxa"/>
            <w:tcBorders/>
            <w:shd w:fill="CCCCCC" w:val="clear"/>
          </w:tcPr>
          <w:p>
            <w:pPr>
              <w:pStyle w:val="Normal"/>
              <w:rPr>
                <w:sz w:val="22"/>
              </w:rPr>
            </w:pPr>
            <w:r>
              <w:rPr>
                <w:sz w:val="22"/>
                <w:lang w:val="en-CA"/>
              </w:rPr>
              <w:t>100</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3. % Load Switched</w:t>
            </w:r>
          </w:p>
        </w:tc>
        <w:tc>
          <w:tcPr>
            <w:tcW w:w="1620" w:type="dxa"/>
            <w:tcBorders/>
            <w:shd w:fill="CCCCCC" w:val="clear"/>
          </w:tcPr>
          <w:p>
            <w:pPr>
              <w:pStyle w:val="Normal"/>
              <w:rPr>
                <w:sz w:val="22"/>
              </w:rPr>
            </w:pPr>
            <w:r>
              <w:rPr>
                <w:sz w:val="22"/>
                <w:lang w:val="en-CA"/>
              </w:rPr>
              <w:t>0</w:t>
            </w:r>
          </w:p>
        </w:tc>
        <w:tc>
          <w:tcPr>
            <w:tcW w:w="1710" w:type="dxa"/>
            <w:tcBorders/>
            <w:shd w:fill="CCCCCC" w:val="clear"/>
          </w:tcPr>
          <w:p>
            <w:pPr>
              <w:pStyle w:val="Normal"/>
              <w:rPr>
                <w:sz w:val="22"/>
              </w:rPr>
            </w:pPr>
            <w:r>
              <w:rPr>
                <w:sz w:val="22"/>
                <w:lang w:val="en-CA"/>
              </w:rPr>
              <w:t>12</w:t>
            </w:r>
          </w:p>
        </w:tc>
        <w:tc>
          <w:tcPr>
            <w:tcW w:w="1845" w:type="dxa"/>
            <w:tcBorders/>
            <w:shd w:fill="CCCCCC" w:val="clear"/>
          </w:tcPr>
          <w:p>
            <w:pPr>
              <w:pStyle w:val="Normal"/>
              <w:rPr>
                <w:sz w:val="22"/>
              </w:rPr>
            </w:pPr>
            <w:r>
              <w:rPr>
                <w:sz w:val="22"/>
                <w:lang w:val="en-CA"/>
              </w:rPr>
              <w:t>13</w:t>
            </w:r>
          </w:p>
        </w:tc>
        <w:tc>
          <w:tcPr>
            <w:tcW w:w="1845" w:type="dxa"/>
            <w:tcBorders/>
            <w:shd w:fill="CCCCCC" w:val="clear"/>
          </w:tcPr>
          <w:p>
            <w:pPr>
              <w:pStyle w:val="Normal"/>
              <w:rPr>
                <w:sz w:val="22"/>
              </w:rPr>
            </w:pPr>
            <w:r>
              <w:rPr>
                <w:sz w:val="22"/>
                <w:lang w:val="en-CA"/>
              </w:rPr>
              <w:t>12</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4. Safeguards</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Corporate</w:t>
            </w:r>
          </w:p>
        </w:tc>
        <w:tc>
          <w:tcPr>
            <w:tcW w:w="1845" w:type="dxa"/>
            <w:tcBorders/>
            <w:shd w:fill="CCCCCC" w:val="clear"/>
          </w:tcPr>
          <w:p>
            <w:pPr>
              <w:pStyle w:val="Normal"/>
              <w:rPr>
                <w:sz w:val="22"/>
              </w:rPr>
            </w:pPr>
            <w:r>
              <w:rPr>
                <w:sz w:val="22"/>
                <w:lang w:val="en-CA"/>
              </w:rPr>
              <w:t>Corporate</w:t>
            </w:r>
          </w:p>
        </w:tc>
        <w:tc>
          <w:tcPr>
            <w:tcW w:w="1845" w:type="dxa"/>
            <w:tcBorders/>
            <w:shd w:fill="CCCCCC" w:val="clear"/>
          </w:tcPr>
          <w:p>
            <w:pPr>
              <w:pStyle w:val="Normal"/>
              <w:rPr>
                <w:sz w:val="22"/>
              </w:rPr>
            </w:pPr>
            <w:r>
              <w:rPr>
                <w:sz w:val="22"/>
                <w:lang w:val="en-CA"/>
              </w:rPr>
              <w:t>Corporate</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5. UBP</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Statewide No EDI</w:t>
            </w:r>
          </w:p>
        </w:tc>
        <w:tc>
          <w:tcPr>
            <w:tcW w:w="1845" w:type="dxa"/>
            <w:tcBorders/>
            <w:shd w:fill="CCCCCC" w:val="clear"/>
          </w:tcPr>
          <w:p>
            <w:pPr>
              <w:pStyle w:val="Normal"/>
              <w:rPr>
                <w:sz w:val="22"/>
              </w:rPr>
            </w:pPr>
            <w:r>
              <w:rPr>
                <w:sz w:val="22"/>
                <w:lang w:val="en-CA"/>
              </w:rPr>
              <w:t>Statewide No EDI</w:t>
            </w:r>
          </w:p>
        </w:tc>
        <w:tc>
          <w:tcPr>
            <w:tcW w:w="1845" w:type="dxa"/>
            <w:tcBorders/>
            <w:shd w:fill="CCCCCC" w:val="clear"/>
          </w:tcPr>
          <w:p>
            <w:pPr>
              <w:pStyle w:val="Normal"/>
              <w:rPr>
                <w:sz w:val="22"/>
              </w:rPr>
            </w:pPr>
            <w:r>
              <w:rPr>
                <w:sz w:val="22"/>
                <w:lang w:val="en-CA"/>
              </w:rPr>
              <w:t>Statewide No EDI</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6. Billing</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Consolidated</w:t>
            </w:r>
          </w:p>
        </w:tc>
        <w:tc>
          <w:tcPr>
            <w:tcW w:w="1845" w:type="dxa"/>
            <w:tcBorders/>
            <w:shd w:fill="CCCCCC" w:val="clear"/>
          </w:tcPr>
          <w:p>
            <w:pPr>
              <w:pStyle w:val="Normal"/>
              <w:rPr>
                <w:sz w:val="22"/>
              </w:rPr>
            </w:pPr>
            <w:r>
              <w:rPr>
                <w:sz w:val="22"/>
                <w:lang w:val="en-CA"/>
              </w:rPr>
              <w:t>Consolidated</w:t>
            </w:r>
          </w:p>
        </w:tc>
        <w:tc>
          <w:tcPr>
            <w:tcW w:w="1845" w:type="dxa"/>
            <w:tcBorders/>
            <w:shd w:fill="CCCCCC" w:val="clear"/>
          </w:tcPr>
          <w:p>
            <w:pPr>
              <w:pStyle w:val="Normal"/>
              <w:rPr>
                <w:sz w:val="22"/>
              </w:rPr>
            </w:pPr>
            <w:r>
              <w:rPr>
                <w:sz w:val="22"/>
                <w:lang w:val="en-CA"/>
              </w:rPr>
              <w:t>Consolidated</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7. Metering</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No Action</w:t>
            </w:r>
          </w:p>
        </w:tc>
        <w:tc>
          <w:tcPr>
            <w:tcW w:w="1845" w:type="dxa"/>
            <w:tcBorders/>
            <w:shd w:fill="CCCCCC" w:val="clear"/>
          </w:tcPr>
          <w:p>
            <w:pPr>
              <w:pStyle w:val="Normal"/>
              <w:rPr>
                <w:sz w:val="22"/>
              </w:rPr>
            </w:pPr>
            <w:r>
              <w:rPr>
                <w:sz w:val="22"/>
                <w:lang w:val="en-CA"/>
              </w:rPr>
              <w:t>No Action</w:t>
            </w:r>
          </w:p>
        </w:tc>
        <w:tc>
          <w:tcPr>
            <w:tcW w:w="1845" w:type="dxa"/>
            <w:tcBorders/>
            <w:shd w:fill="CCCCCC" w:val="clear"/>
          </w:tcPr>
          <w:p>
            <w:pPr>
              <w:pStyle w:val="Normal"/>
              <w:rPr>
                <w:sz w:val="22"/>
              </w:rPr>
            </w:pPr>
            <w:r>
              <w:rPr>
                <w:sz w:val="22"/>
                <w:lang w:val="en-CA"/>
              </w:rPr>
              <w:t>No Action</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8. Generation</w:t>
            </w:r>
          </w:p>
        </w:tc>
        <w:tc>
          <w:tcPr>
            <w:tcW w:w="1620" w:type="dxa"/>
            <w:tcBorders/>
            <w:shd w:fill="CCCCCC" w:val="clear"/>
          </w:tcPr>
          <w:p>
            <w:pPr>
              <w:pStyle w:val="Normal"/>
              <w:rPr>
                <w:sz w:val="22"/>
              </w:rPr>
            </w:pPr>
            <w:r>
              <w:rPr>
                <w:sz w:val="22"/>
                <w:lang w:val="en-CA"/>
              </w:rPr>
              <w:t>Voluntary</w:t>
            </w:r>
          </w:p>
        </w:tc>
        <w:tc>
          <w:tcPr>
            <w:tcW w:w="1710" w:type="dxa"/>
            <w:tcBorders/>
            <w:shd w:fill="CCCCCC" w:val="clear"/>
          </w:tcPr>
          <w:p>
            <w:pPr>
              <w:pStyle w:val="Normal"/>
              <w:rPr>
                <w:sz w:val="22"/>
              </w:rPr>
            </w:pPr>
            <w:r>
              <w:rPr>
                <w:sz w:val="22"/>
                <w:lang w:val="en-CA"/>
              </w:rPr>
              <w:t>Voluntary</w:t>
            </w:r>
          </w:p>
        </w:tc>
        <w:tc>
          <w:tcPr>
            <w:tcW w:w="1845" w:type="dxa"/>
            <w:tcBorders/>
            <w:shd w:fill="CCCCCC" w:val="clear"/>
          </w:tcPr>
          <w:p>
            <w:pPr>
              <w:pStyle w:val="Normal"/>
              <w:rPr>
                <w:sz w:val="22"/>
              </w:rPr>
            </w:pPr>
            <w:r>
              <w:rPr>
                <w:sz w:val="22"/>
                <w:lang w:val="en-CA"/>
              </w:rPr>
              <w:t>Voluntary</w:t>
            </w:r>
          </w:p>
        </w:tc>
        <w:tc>
          <w:tcPr>
            <w:tcW w:w="1845" w:type="dxa"/>
            <w:tcBorders/>
            <w:shd w:fill="CCCCCC" w:val="clear"/>
          </w:tcPr>
          <w:p>
            <w:pPr>
              <w:pStyle w:val="Normal"/>
              <w:rPr>
                <w:sz w:val="22"/>
              </w:rPr>
            </w:pPr>
            <w:r>
              <w:rPr>
                <w:sz w:val="22"/>
                <w:lang w:val="en-CA"/>
              </w:rPr>
              <w:t>Voluntary</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9. Wholesale</w:t>
            </w:r>
          </w:p>
        </w:tc>
        <w:tc>
          <w:tcPr>
            <w:tcW w:w="1620" w:type="dxa"/>
            <w:tcBorders/>
            <w:shd w:fill="CCCCCC" w:val="clear"/>
          </w:tcPr>
          <w:p>
            <w:pPr>
              <w:pStyle w:val="Normal"/>
              <w:rPr>
                <w:sz w:val="22"/>
              </w:rPr>
            </w:pPr>
            <w:r>
              <w:rPr>
                <w:sz w:val="22"/>
                <w:lang w:val="en-CA"/>
              </w:rPr>
              <w:t>Both</w:t>
            </w:r>
          </w:p>
        </w:tc>
        <w:tc>
          <w:tcPr>
            <w:tcW w:w="1710" w:type="dxa"/>
            <w:tcBorders/>
            <w:shd w:fill="CCCCCC" w:val="clear"/>
          </w:tcPr>
          <w:p>
            <w:pPr>
              <w:pStyle w:val="Normal"/>
              <w:rPr>
                <w:sz w:val="22"/>
              </w:rPr>
            </w:pPr>
            <w:r>
              <w:rPr>
                <w:sz w:val="22"/>
                <w:lang w:val="en-CA"/>
              </w:rPr>
              <w:t>Both</w:t>
            </w:r>
          </w:p>
        </w:tc>
        <w:tc>
          <w:tcPr>
            <w:tcW w:w="1845" w:type="dxa"/>
            <w:tcBorders/>
            <w:shd w:fill="CCCCCC" w:val="clear"/>
          </w:tcPr>
          <w:p>
            <w:pPr>
              <w:pStyle w:val="Normal"/>
              <w:rPr>
                <w:sz w:val="22"/>
              </w:rPr>
            </w:pPr>
            <w:r>
              <w:rPr>
                <w:sz w:val="22"/>
                <w:lang w:val="en-CA"/>
              </w:rPr>
              <w:t>Both</w:t>
            </w:r>
          </w:p>
        </w:tc>
        <w:tc>
          <w:tcPr>
            <w:tcW w:w="1845" w:type="dxa"/>
            <w:tcBorders/>
            <w:shd w:fill="CCCCCC" w:val="clear"/>
          </w:tcPr>
          <w:p>
            <w:pPr>
              <w:pStyle w:val="Normal"/>
              <w:rPr>
                <w:sz w:val="22"/>
              </w:rPr>
            </w:pPr>
            <w:r>
              <w:rPr>
                <w:sz w:val="22"/>
                <w:lang w:val="en-CA"/>
              </w:rPr>
              <w:t>Both</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10. SC Calculation</w:t>
            </w:r>
          </w:p>
        </w:tc>
        <w:tc>
          <w:tcPr>
            <w:tcW w:w="1620" w:type="dxa"/>
            <w:tcBorders/>
            <w:shd w:fill="CCCCCC" w:val="clear"/>
          </w:tcPr>
          <w:p>
            <w:pPr>
              <w:pStyle w:val="Normal"/>
              <w:rPr/>
            </w:pPr>
            <w:r>
              <w:rPr>
                <w:sz w:val="22"/>
                <w:lang w:val="en-CA"/>
              </w:rPr>
              <w:t>Administrative</w:t>
            </w:r>
            <w:r>
              <w:rPr>
                <w:sz w:val="22"/>
              </w:rPr>
              <w:t xml:space="preserve"> </w:t>
            </w:r>
          </w:p>
        </w:tc>
        <w:tc>
          <w:tcPr>
            <w:tcW w:w="1710" w:type="dxa"/>
            <w:tcBorders/>
            <w:shd w:fill="CCCCCC" w:val="clear"/>
          </w:tcPr>
          <w:p>
            <w:pPr>
              <w:pStyle w:val="Normal"/>
              <w:rPr>
                <w:sz w:val="22"/>
              </w:rPr>
            </w:pPr>
            <w:r>
              <w:rPr>
                <w:sz w:val="22"/>
                <w:lang w:val="en-CA"/>
              </w:rPr>
              <w:t>Administrative</w:t>
            </w:r>
          </w:p>
        </w:tc>
        <w:tc>
          <w:tcPr>
            <w:tcW w:w="1845" w:type="dxa"/>
            <w:tcBorders/>
            <w:shd w:fill="CCCCCC" w:val="clear"/>
          </w:tcPr>
          <w:p>
            <w:pPr>
              <w:pStyle w:val="Normal"/>
              <w:rPr>
                <w:sz w:val="22"/>
              </w:rPr>
            </w:pPr>
            <w:r>
              <w:rPr>
                <w:sz w:val="22"/>
                <w:lang w:val="en-CA"/>
              </w:rPr>
              <w:t>Administrative</w:t>
            </w:r>
          </w:p>
        </w:tc>
        <w:tc>
          <w:tcPr>
            <w:tcW w:w="1845" w:type="dxa"/>
            <w:tcBorders/>
            <w:shd w:fill="CCCCCC" w:val="clear"/>
          </w:tcPr>
          <w:p>
            <w:pPr>
              <w:pStyle w:val="Normal"/>
              <w:rPr>
                <w:sz w:val="22"/>
              </w:rPr>
            </w:pPr>
            <w:r>
              <w:rPr>
                <w:sz w:val="22"/>
                <w:lang w:val="en-CA"/>
              </w:rPr>
              <w:t>Administrative</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11. SC Implementation</w:t>
            </w:r>
          </w:p>
        </w:tc>
        <w:tc>
          <w:tcPr>
            <w:tcW w:w="1620" w:type="dxa"/>
            <w:tcBorders/>
            <w:shd w:fill="CCCCCC" w:val="clear"/>
          </w:tcPr>
          <w:p>
            <w:pPr>
              <w:pStyle w:val="Normal"/>
              <w:rPr>
                <w:sz w:val="22"/>
              </w:rPr>
            </w:pPr>
            <w:r>
              <w:rPr>
                <w:sz w:val="22"/>
                <w:lang w:val="en-CA"/>
              </w:rPr>
              <w:t>Vary</w:t>
            </w:r>
          </w:p>
        </w:tc>
        <w:tc>
          <w:tcPr>
            <w:tcW w:w="1710" w:type="dxa"/>
            <w:tcBorders/>
            <w:shd w:fill="CCCCCC" w:val="clear"/>
          </w:tcPr>
          <w:p>
            <w:pPr>
              <w:pStyle w:val="Normal"/>
              <w:rPr>
                <w:sz w:val="22"/>
              </w:rPr>
            </w:pPr>
            <w:r>
              <w:rPr>
                <w:sz w:val="22"/>
                <w:lang w:val="en-CA"/>
              </w:rPr>
              <w:t>Vary</w:t>
            </w:r>
          </w:p>
        </w:tc>
        <w:tc>
          <w:tcPr>
            <w:tcW w:w="1845" w:type="dxa"/>
            <w:tcBorders/>
            <w:shd w:fill="CCCCCC" w:val="clear"/>
          </w:tcPr>
          <w:p>
            <w:pPr>
              <w:pStyle w:val="Normal"/>
              <w:rPr>
                <w:sz w:val="22"/>
              </w:rPr>
            </w:pPr>
            <w:r>
              <w:rPr>
                <w:sz w:val="22"/>
                <w:lang w:val="en-CA"/>
              </w:rPr>
              <w:t>Vary</w:t>
            </w:r>
          </w:p>
        </w:tc>
        <w:tc>
          <w:tcPr>
            <w:tcW w:w="1845" w:type="dxa"/>
            <w:tcBorders/>
            <w:shd w:fill="CCCCCC" w:val="clear"/>
          </w:tcPr>
          <w:p>
            <w:pPr>
              <w:pStyle w:val="Normal"/>
              <w:rPr>
                <w:sz w:val="22"/>
              </w:rPr>
            </w:pPr>
            <w:r>
              <w:rPr>
                <w:sz w:val="22"/>
                <w:lang w:val="en-CA"/>
              </w:rPr>
              <w:t>Vary</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12. Customer Information</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Weak</w:t>
            </w:r>
          </w:p>
        </w:tc>
        <w:tc>
          <w:tcPr>
            <w:tcW w:w="1845" w:type="dxa"/>
            <w:tcBorders/>
            <w:shd w:fill="CCCCCC" w:val="clear"/>
          </w:tcPr>
          <w:p>
            <w:pPr>
              <w:pStyle w:val="Normal"/>
              <w:rPr>
                <w:sz w:val="22"/>
              </w:rPr>
            </w:pPr>
            <w:r>
              <w:rPr>
                <w:sz w:val="22"/>
                <w:lang w:val="en-CA"/>
              </w:rPr>
              <w:t>Weak</w:t>
            </w:r>
          </w:p>
        </w:tc>
        <w:tc>
          <w:tcPr>
            <w:tcW w:w="1845" w:type="dxa"/>
            <w:tcBorders/>
            <w:shd w:fill="CCCCCC" w:val="clear"/>
          </w:tcPr>
          <w:p>
            <w:pPr>
              <w:pStyle w:val="Normal"/>
              <w:rPr>
                <w:sz w:val="22"/>
              </w:rPr>
            </w:pPr>
            <w:r>
              <w:rPr>
                <w:sz w:val="22"/>
                <w:lang w:val="en-CA"/>
              </w:rPr>
              <w:t>Weak</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13. Consumer Education</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Awareness</w:t>
            </w:r>
          </w:p>
        </w:tc>
        <w:tc>
          <w:tcPr>
            <w:tcW w:w="1845" w:type="dxa"/>
            <w:tcBorders/>
            <w:shd w:fill="CCCCCC" w:val="clear"/>
          </w:tcPr>
          <w:p>
            <w:pPr>
              <w:pStyle w:val="Normal"/>
              <w:rPr>
                <w:sz w:val="22"/>
              </w:rPr>
            </w:pPr>
            <w:r>
              <w:rPr>
                <w:sz w:val="22"/>
                <w:lang w:val="en-CA"/>
              </w:rPr>
              <w:t>Awareness</w:t>
            </w:r>
          </w:p>
        </w:tc>
        <w:tc>
          <w:tcPr>
            <w:tcW w:w="1845" w:type="dxa"/>
            <w:tcBorders/>
            <w:shd w:fill="CCCCCC" w:val="clear"/>
          </w:tcPr>
          <w:p>
            <w:pPr>
              <w:pStyle w:val="Normal"/>
              <w:rPr>
                <w:sz w:val="22"/>
              </w:rPr>
            </w:pPr>
            <w:r>
              <w:rPr>
                <w:sz w:val="22"/>
                <w:lang w:val="en-CA"/>
              </w:rPr>
              <w:t>Awareness</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14. Default Service</w:t>
            </w:r>
          </w:p>
        </w:tc>
        <w:tc>
          <w:tcPr>
            <w:tcW w:w="1620" w:type="dxa"/>
            <w:tcBorders/>
            <w:shd w:fill="CCCCCC" w:val="clear"/>
          </w:tcPr>
          <w:p>
            <w:pPr>
              <w:pStyle w:val="Normal"/>
              <w:rPr>
                <w:sz w:val="22"/>
              </w:rPr>
            </w:pPr>
            <w:r>
              <w:rPr>
                <w:sz w:val="22"/>
                <w:lang w:val="en-CA"/>
              </w:rPr>
              <w:t>Utility</w:t>
            </w:r>
          </w:p>
        </w:tc>
        <w:tc>
          <w:tcPr>
            <w:tcW w:w="1710" w:type="dxa"/>
            <w:tcBorders/>
            <w:shd w:fill="CCCCCC" w:val="clear"/>
          </w:tcPr>
          <w:p>
            <w:pPr>
              <w:pStyle w:val="Normal"/>
              <w:rPr>
                <w:sz w:val="22"/>
              </w:rPr>
            </w:pPr>
            <w:r>
              <w:rPr>
                <w:sz w:val="22"/>
                <w:lang w:val="en-CA"/>
              </w:rPr>
              <w:t>Utility</w:t>
            </w:r>
          </w:p>
        </w:tc>
        <w:tc>
          <w:tcPr>
            <w:tcW w:w="1845" w:type="dxa"/>
            <w:tcBorders/>
            <w:shd w:fill="CCCCCC" w:val="clear"/>
          </w:tcPr>
          <w:p>
            <w:pPr>
              <w:pStyle w:val="Normal"/>
              <w:rPr>
                <w:sz w:val="22"/>
              </w:rPr>
            </w:pPr>
            <w:r>
              <w:rPr>
                <w:sz w:val="22"/>
                <w:lang w:val="en-CA"/>
              </w:rPr>
              <w:t>Utility</w:t>
            </w:r>
          </w:p>
        </w:tc>
        <w:tc>
          <w:tcPr>
            <w:tcW w:w="1845" w:type="dxa"/>
            <w:tcBorders/>
            <w:shd w:fill="CCCCCC" w:val="clear"/>
          </w:tcPr>
          <w:p>
            <w:pPr>
              <w:pStyle w:val="Normal"/>
              <w:rPr>
                <w:sz w:val="22"/>
              </w:rPr>
            </w:pPr>
            <w:r>
              <w:rPr>
                <w:sz w:val="22"/>
                <w:lang w:val="en-CA"/>
              </w:rPr>
              <w:t>Utility</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15. Price Risk</w:t>
            </w:r>
          </w:p>
        </w:tc>
        <w:tc>
          <w:tcPr>
            <w:tcW w:w="1620" w:type="dxa"/>
            <w:tcBorders/>
            <w:shd w:fill="CCCCCC" w:val="clear"/>
          </w:tcPr>
          <w:p>
            <w:pPr>
              <w:pStyle w:val="Normal"/>
              <w:rPr>
                <w:sz w:val="22"/>
              </w:rPr>
            </w:pPr>
            <w:r>
              <w:rPr>
                <w:sz w:val="22"/>
                <w:lang w:val="en-CA"/>
              </w:rPr>
              <w:t>Adjustments</w:t>
            </w:r>
          </w:p>
        </w:tc>
        <w:tc>
          <w:tcPr>
            <w:tcW w:w="1710" w:type="dxa"/>
            <w:tcBorders/>
            <w:shd w:fill="CCCCCC" w:val="clear"/>
          </w:tcPr>
          <w:p>
            <w:pPr>
              <w:pStyle w:val="Normal"/>
              <w:rPr>
                <w:sz w:val="22"/>
              </w:rPr>
            </w:pPr>
            <w:r>
              <w:rPr>
                <w:sz w:val="22"/>
                <w:lang w:val="en-CA"/>
              </w:rPr>
              <w:t>Adjustments</w:t>
            </w:r>
          </w:p>
        </w:tc>
        <w:tc>
          <w:tcPr>
            <w:tcW w:w="1845" w:type="dxa"/>
            <w:tcBorders/>
            <w:shd w:fill="CCCCCC" w:val="clear"/>
          </w:tcPr>
          <w:p>
            <w:pPr>
              <w:pStyle w:val="Normal"/>
              <w:rPr>
                <w:sz w:val="22"/>
              </w:rPr>
            </w:pPr>
            <w:r>
              <w:rPr>
                <w:sz w:val="22"/>
                <w:lang w:val="en-CA"/>
              </w:rPr>
              <w:t>Adjustments</w:t>
            </w:r>
          </w:p>
        </w:tc>
        <w:tc>
          <w:tcPr>
            <w:tcW w:w="1845" w:type="dxa"/>
            <w:tcBorders/>
            <w:shd w:fill="CCCCCC" w:val="clear"/>
          </w:tcPr>
          <w:p>
            <w:pPr>
              <w:pStyle w:val="Normal"/>
              <w:rPr>
                <w:sz w:val="22"/>
              </w:rPr>
            </w:pPr>
            <w:r>
              <w:rPr>
                <w:sz w:val="22"/>
                <w:lang w:val="en-CA"/>
              </w:rPr>
              <w:t>Adjustments</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16. Rates</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Rationalization</w:t>
            </w:r>
          </w:p>
        </w:tc>
        <w:tc>
          <w:tcPr>
            <w:tcW w:w="1845" w:type="dxa"/>
            <w:tcBorders/>
            <w:shd w:fill="CCCCCC" w:val="clear"/>
          </w:tcPr>
          <w:p>
            <w:pPr>
              <w:pStyle w:val="Normal"/>
              <w:rPr>
                <w:sz w:val="22"/>
              </w:rPr>
            </w:pPr>
            <w:r>
              <w:rPr>
                <w:sz w:val="22"/>
                <w:lang w:val="en-CA"/>
              </w:rPr>
              <w:t>Rationalization</w:t>
            </w:r>
          </w:p>
        </w:tc>
        <w:tc>
          <w:tcPr>
            <w:tcW w:w="1845" w:type="dxa"/>
            <w:tcBorders/>
            <w:shd w:fill="CCCCCC" w:val="clear"/>
          </w:tcPr>
          <w:p>
            <w:pPr>
              <w:pStyle w:val="Normal"/>
              <w:rPr>
                <w:sz w:val="22"/>
              </w:rPr>
            </w:pPr>
            <w:r>
              <w:rPr>
                <w:sz w:val="22"/>
                <w:lang w:val="en-CA"/>
              </w:rPr>
              <w:t>Rationalization</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17. PBR</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Some</w:t>
            </w:r>
          </w:p>
        </w:tc>
        <w:tc>
          <w:tcPr>
            <w:tcW w:w="1845" w:type="dxa"/>
            <w:tcBorders/>
            <w:shd w:fill="CCCCCC" w:val="clear"/>
          </w:tcPr>
          <w:p>
            <w:pPr>
              <w:pStyle w:val="Normal"/>
              <w:rPr>
                <w:sz w:val="22"/>
              </w:rPr>
            </w:pPr>
            <w:r>
              <w:rPr>
                <w:sz w:val="22"/>
                <w:lang w:val="en-CA"/>
              </w:rPr>
              <w:t>Some</w:t>
            </w:r>
          </w:p>
        </w:tc>
        <w:tc>
          <w:tcPr>
            <w:tcW w:w="1845" w:type="dxa"/>
            <w:tcBorders/>
            <w:shd w:fill="CCCCCC" w:val="clear"/>
          </w:tcPr>
          <w:p>
            <w:pPr>
              <w:pStyle w:val="Normal"/>
              <w:rPr>
                <w:sz w:val="22"/>
              </w:rPr>
            </w:pPr>
            <w:r>
              <w:rPr>
                <w:sz w:val="22"/>
                <w:lang w:val="en-CA"/>
              </w:rPr>
              <w:t>Some</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18. Network Pricing</w:t>
            </w:r>
          </w:p>
        </w:tc>
        <w:tc>
          <w:tcPr>
            <w:tcW w:w="1620" w:type="dxa"/>
            <w:tcBorders/>
            <w:shd w:fill="CCCCCC" w:val="clear"/>
          </w:tcPr>
          <w:p>
            <w:pPr>
              <w:pStyle w:val="Normal"/>
              <w:rPr>
                <w:sz w:val="22"/>
              </w:rPr>
            </w:pPr>
            <w:r>
              <w:rPr>
                <w:sz w:val="22"/>
                <w:lang w:val="en-CA"/>
              </w:rPr>
              <w:t>COS Pricing</w:t>
            </w:r>
          </w:p>
        </w:tc>
        <w:tc>
          <w:tcPr>
            <w:tcW w:w="1710" w:type="dxa"/>
            <w:tcBorders/>
            <w:shd w:fill="CCCCCC" w:val="clear"/>
          </w:tcPr>
          <w:p>
            <w:pPr>
              <w:pStyle w:val="Normal"/>
              <w:rPr>
                <w:sz w:val="22"/>
              </w:rPr>
            </w:pPr>
            <w:r>
              <w:rPr>
                <w:sz w:val="22"/>
                <w:lang w:val="en-CA"/>
              </w:rPr>
              <w:t>COS Pricing</w:t>
            </w:r>
          </w:p>
        </w:tc>
        <w:tc>
          <w:tcPr>
            <w:tcW w:w="1845" w:type="dxa"/>
            <w:tcBorders/>
            <w:shd w:fill="CCCCCC" w:val="clear"/>
          </w:tcPr>
          <w:p>
            <w:pPr>
              <w:pStyle w:val="Normal"/>
              <w:rPr>
                <w:sz w:val="22"/>
              </w:rPr>
            </w:pPr>
            <w:r>
              <w:rPr>
                <w:sz w:val="22"/>
                <w:lang w:val="en-CA"/>
              </w:rPr>
              <w:t>COS Pricing</w:t>
            </w:r>
          </w:p>
        </w:tc>
        <w:tc>
          <w:tcPr>
            <w:tcW w:w="1845" w:type="dxa"/>
            <w:tcBorders/>
            <w:shd w:fill="CCCCCC" w:val="clear"/>
          </w:tcPr>
          <w:p>
            <w:pPr>
              <w:pStyle w:val="Normal"/>
              <w:rPr>
                <w:sz w:val="22"/>
              </w:rPr>
            </w:pPr>
            <w:r>
              <w:rPr>
                <w:sz w:val="22"/>
                <w:lang w:val="en-CA"/>
              </w:rPr>
              <w:t>COS Pricing</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19. DG Interconnection</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Some</w:t>
            </w:r>
          </w:p>
        </w:tc>
        <w:tc>
          <w:tcPr>
            <w:tcW w:w="1845" w:type="dxa"/>
            <w:tcBorders/>
            <w:shd w:fill="CCCCCC" w:val="clear"/>
          </w:tcPr>
          <w:p>
            <w:pPr>
              <w:pStyle w:val="Normal"/>
              <w:rPr>
                <w:sz w:val="22"/>
              </w:rPr>
            </w:pPr>
            <w:r>
              <w:rPr>
                <w:sz w:val="22"/>
                <w:lang w:val="en-CA"/>
              </w:rPr>
              <w:t>Some</w:t>
            </w:r>
          </w:p>
        </w:tc>
        <w:tc>
          <w:tcPr>
            <w:tcW w:w="1845" w:type="dxa"/>
            <w:tcBorders/>
            <w:shd w:fill="CCCCCC" w:val="clear"/>
          </w:tcPr>
          <w:p>
            <w:pPr>
              <w:pStyle w:val="Normal"/>
              <w:rPr>
                <w:sz w:val="22"/>
              </w:rPr>
            </w:pPr>
            <w:r>
              <w:rPr>
                <w:sz w:val="22"/>
                <w:lang w:val="en-CA"/>
              </w:rPr>
              <w:t>Some</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20. Convergence</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No Action</w:t>
            </w:r>
          </w:p>
        </w:tc>
        <w:tc>
          <w:tcPr>
            <w:tcW w:w="1845" w:type="dxa"/>
            <w:tcBorders/>
            <w:shd w:fill="CCCCCC" w:val="clear"/>
          </w:tcPr>
          <w:p>
            <w:pPr>
              <w:pStyle w:val="Normal"/>
              <w:rPr>
                <w:sz w:val="22"/>
              </w:rPr>
            </w:pPr>
            <w:r>
              <w:rPr>
                <w:sz w:val="22"/>
                <w:lang w:val="en-CA"/>
              </w:rPr>
              <w:t>No Action</w:t>
            </w:r>
          </w:p>
        </w:tc>
        <w:tc>
          <w:tcPr>
            <w:tcW w:w="1845" w:type="dxa"/>
            <w:tcBorders/>
            <w:shd w:fill="CCCCCC" w:val="clear"/>
          </w:tcPr>
          <w:p>
            <w:pPr>
              <w:pStyle w:val="Normal"/>
              <w:rPr>
                <w:sz w:val="22"/>
              </w:rPr>
            </w:pPr>
            <w:r>
              <w:rPr>
                <w:sz w:val="22"/>
                <w:lang w:val="en-CA"/>
              </w:rPr>
              <w:t>No Action</w:t>
            </w:r>
          </w:p>
        </w:tc>
        <w:tc>
          <w:tcPr>
            <w:tcW w:w="3960" w:type="dxa"/>
            <w:tcBorders/>
            <w:shd w:fill="FFFFFF" w:val="clear"/>
          </w:tcPr>
          <w:p>
            <w:pPr>
              <w:pStyle w:val="Normal"/>
              <w:snapToGrid w:val="false"/>
              <w:rPr>
                <w:sz w:val="22"/>
              </w:rPr>
            </w:pPr>
            <w:r>
              <w:rPr>
                <w:sz w:val="22"/>
              </w:rPr>
            </w:r>
          </w:p>
        </w:tc>
      </w:tr>
      <w:tr>
        <w:trPr/>
        <w:tc>
          <w:tcPr>
            <w:tcW w:w="2808" w:type="dxa"/>
            <w:tcBorders/>
            <w:shd w:fill="FFFFCC" w:val="clear"/>
          </w:tcPr>
          <w:p>
            <w:pPr>
              <w:pStyle w:val="Normal"/>
              <w:rPr>
                <w:sz w:val="22"/>
              </w:rPr>
            </w:pPr>
            <w:r>
              <w:rPr>
                <w:sz w:val="22"/>
              </w:rPr>
              <w:t>21. Reengineering</w:t>
            </w:r>
          </w:p>
        </w:tc>
        <w:tc>
          <w:tcPr>
            <w:tcW w:w="1620" w:type="dxa"/>
            <w:tcBorders/>
            <w:shd w:fill="CCCCCC" w:val="clear"/>
          </w:tcPr>
          <w:p>
            <w:pPr>
              <w:pStyle w:val="Normal"/>
              <w:rPr>
                <w:sz w:val="22"/>
              </w:rPr>
            </w:pPr>
            <w:r>
              <w:rPr>
                <w:sz w:val="22"/>
                <w:lang w:val="en-CA"/>
              </w:rPr>
              <w:t>No Action</w:t>
            </w:r>
          </w:p>
        </w:tc>
        <w:tc>
          <w:tcPr>
            <w:tcW w:w="1710" w:type="dxa"/>
            <w:tcBorders/>
            <w:shd w:fill="CCCCCC" w:val="clear"/>
          </w:tcPr>
          <w:p>
            <w:pPr>
              <w:pStyle w:val="Normal"/>
              <w:rPr>
                <w:sz w:val="22"/>
              </w:rPr>
            </w:pPr>
            <w:r>
              <w:rPr>
                <w:sz w:val="22"/>
                <w:lang w:val="en-CA"/>
              </w:rPr>
              <w:t>No Action</w:t>
            </w:r>
          </w:p>
        </w:tc>
        <w:tc>
          <w:tcPr>
            <w:tcW w:w="1845" w:type="dxa"/>
            <w:tcBorders/>
            <w:shd w:fill="CCCCCC" w:val="clear"/>
          </w:tcPr>
          <w:p>
            <w:pPr>
              <w:pStyle w:val="Normal"/>
              <w:rPr>
                <w:sz w:val="22"/>
              </w:rPr>
            </w:pPr>
            <w:r>
              <w:rPr>
                <w:sz w:val="22"/>
                <w:lang w:val="en-CA"/>
              </w:rPr>
              <w:t>No Action</w:t>
            </w:r>
          </w:p>
        </w:tc>
        <w:tc>
          <w:tcPr>
            <w:tcW w:w="1845" w:type="dxa"/>
            <w:tcBorders/>
            <w:shd w:fill="CCCCCC" w:val="clear"/>
          </w:tcPr>
          <w:p>
            <w:pPr>
              <w:pStyle w:val="Normal"/>
              <w:rPr>
                <w:sz w:val="22"/>
              </w:rPr>
            </w:pPr>
            <w:r>
              <w:rPr>
                <w:sz w:val="22"/>
                <w:lang w:val="en-CA"/>
              </w:rPr>
              <w:t>No Action</w:t>
            </w:r>
          </w:p>
        </w:tc>
        <w:tc>
          <w:tcPr>
            <w:tcW w:w="3960" w:type="dxa"/>
            <w:tcBorders/>
            <w:shd w:fill="FFFFCC" w:val="clear"/>
          </w:tcPr>
          <w:p>
            <w:pPr>
              <w:pStyle w:val="Normal"/>
              <w:snapToGrid w:val="false"/>
              <w:rPr>
                <w:sz w:val="22"/>
              </w:rPr>
            </w:pPr>
            <w:r>
              <w:rPr>
                <w:sz w:val="22"/>
              </w:rPr>
            </w:r>
          </w:p>
        </w:tc>
      </w:tr>
      <w:tr>
        <w:trPr/>
        <w:tc>
          <w:tcPr>
            <w:tcW w:w="2808" w:type="dxa"/>
            <w:tcBorders/>
            <w:shd w:fill="FFFFFF" w:val="clear"/>
          </w:tcPr>
          <w:p>
            <w:pPr>
              <w:pStyle w:val="Normal"/>
              <w:rPr>
                <w:sz w:val="22"/>
              </w:rPr>
            </w:pPr>
            <w:r>
              <w:rPr>
                <w:sz w:val="22"/>
              </w:rPr>
              <w:t>22. Budget</w:t>
            </w:r>
          </w:p>
        </w:tc>
        <w:tc>
          <w:tcPr>
            <w:tcW w:w="1620" w:type="dxa"/>
            <w:tcBorders/>
            <w:shd w:fill="CCCCCC" w:val="clear"/>
          </w:tcPr>
          <w:p>
            <w:pPr>
              <w:pStyle w:val="Normal"/>
              <w:rPr>
                <w:sz w:val="22"/>
              </w:rPr>
            </w:pPr>
            <w:r>
              <w:rPr>
                <w:sz w:val="22"/>
                <w:lang w:val="en-CA"/>
              </w:rPr>
              <w:t>Level</w:t>
            </w:r>
          </w:p>
        </w:tc>
        <w:tc>
          <w:tcPr>
            <w:tcW w:w="1710" w:type="dxa"/>
            <w:tcBorders/>
            <w:shd w:fill="CCCCCC" w:val="clear"/>
          </w:tcPr>
          <w:p>
            <w:pPr>
              <w:pStyle w:val="Normal"/>
              <w:rPr>
                <w:sz w:val="22"/>
              </w:rPr>
            </w:pPr>
            <w:r>
              <w:rPr>
                <w:sz w:val="22"/>
                <w:lang w:val="en-CA"/>
              </w:rPr>
              <w:t>Level</w:t>
            </w:r>
          </w:p>
        </w:tc>
        <w:tc>
          <w:tcPr>
            <w:tcW w:w="1845" w:type="dxa"/>
            <w:tcBorders/>
            <w:shd w:fill="CCCCCC" w:val="clear"/>
          </w:tcPr>
          <w:p>
            <w:pPr>
              <w:pStyle w:val="Normal"/>
              <w:rPr>
                <w:sz w:val="22"/>
              </w:rPr>
            </w:pPr>
            <w:r>
              <w:rPr>
                <w:sz w:val="22"/>
                <w:lang w:val="en-CA"/>
              </w:rPr>
              <w:t>Level</w:t>
            </w:r>
          </w:p>
        </w:tc>
        <w:tc>
          <w:tcPr>
            <w:tcW w:w="1845" w:type="dxa"/>
            <w:tcBorders/>
            <w:shd w:fill="CCCCCC" w:val="clear"/>
          </w:tcPr>
          <w:p>
            <w:pPr>
              <w:pStyle w:val="Normal"/>
              <w:rPr>
                <w:sz w:val="22"/>
              </w:rPr>
            </w:pPr>
            <w:r>
              <w:rPr>
                <w:sz w:val="22"/>
                <w:lang w:val="en-CA"/>
              </w:rPr>
              <w:t>Level</w:t>
            </w:r>
          </w:p>
        </w:tc>
        <w:tc>
          <w:tcPr>
            <w:tcW w:w="3960" w:type="dxa"/>
            <w:tcBorders/>
            <w:shd w:fill="FFFFFF" w:val="clear"/>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t>Please provide a narrative of the key actions relating to electric restructuring that have occurred between January 1 and May 31.</w:t>
      </w:r>
    </w:p>
    <w:sectPr>
      <w:headerReference w:type="default" r:id="rId3"/>
      <w:type w:val="nextPage"/>
      <w:pgSz w:orient="landscape" w:w="15840" w:h="12240"/>
      <w:pgMar w:left="1050" w:right="1215" w:gutter="0" w:header="720" w:top="1020" w:footer="0" w:bottom="918"/>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3">
          <wp:simplePos x="0" y="0"/>
          <wp:positionH relativeFrom="column">
            <wp:posOffset>6762750</wp:posOffset>
          </wp:positionH>
          <wp:positionV relativeFrom="paragraph">
            <wp:posOffset>-133350</wp:posOffset>
          </wp:positionV>
          <wp:extent cx="1463040" cy="563245"/>
          <wp:effectExtent l="0" t="0" r="0" b="0"/>
          <wp:wrapTopAndBottom/>
          <wp:docPr id="1" name="new%20logo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20logo16" descr="" title=""/>
                  <pic:cNvPicPr>
                    <a:picLocks noChangeAspect="1" noChangeArrowheads="1"/>
                  </pic:cNvPicPr>
                </pic:nvPicPr>
                <pic:blipFill>
                  <a:blip r:embed="rId1"/>
                  <a:srcRect l="-5" t="-13" r="-5" b="-13"/>
                  <a:stretch>
                    <a:fillRect/>
                  </a:stretch>
                </pic:blipFill>
                <pic:spPr bwMode="auto">
                  <a:xfrm>
                    <a:off x="0" y="0"/>
                    <a:ext cx="1463040" cy="56324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005"/>
        </w:tabs>
        <w:ind w:start="1005" w:hanging="100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6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675" w:end="-225"/>
      <w:jc w:val="center"/>
      <w:outlineLvl w:val="0"/>
    </w:pPr>
    <w:rPr>
      <w:b/>
      <w:sz w:val="36"/>
    </w:rPr>
  </w:style>
  <w:style w:type="paragraph" w:styleId="Heading2">
    <w:name w:val="heading 2"/>
    <w:basedOn w:val="Normal"/>
    <w:next w:val="Normal"/>
    <w:qFormat/>
    <w:pPr>
      <w:widowControl w:val="false"/>
      <w:numPr>
        <w:ilvl w:val="1"/>
        <w:numId w:val="1"/>
      </w:numPr>
      <w:tabs>
        <w:tab w:val="clear" w:pos="720"/>
        <w:tab w:val="left" w:pos="1008" w:leader="none"/>
        <w:tab w:val="decimal" w:pos="4608" w:leader="dot"/>
      </w:tabs>
      <w:spacing w:before="120" w:after="120"/>
      <w:outlineLvl w:val="1"/>
    </w:pPr>
    <w:rPr>
      <w:rFonts w:ascii="Arial" w:hAnsi="Arial" w:cs="Arial"/>
      <w:sz w:val="36"/>
    </w:rPr>
  </w:style>
  <w:style w:type="paragraph" w:styleId="Heading3">
    <w:name w:val="heading 3"/>
    <w:basedOn w:val="Normal"/>
    <w:next w:val="Normal"/>
    <w:qFormat/>
    <w:pPr>
      <w:keepNext w:val="true"/>
      <w:numPr>
        <w:ilvl w:val="2"/>
        <w:numId w:val="1"/>
      </w:numPr>
      <w:outlineLvl w:val="2"/>
    </w:pPr>
    <w:rPr>
      <w:b/>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4z0">
    <w:name w:val="WW8Num24z0"/>
    <w:qFormat/>
    <w:rPr>
      <w:rFonts w:ascii="Wingdings" w:hAnsi="Wingdings" w:cs="Wingdings"/>
    </w:rPr>
  </w:style>
  <w:style w:type="character" w:styleId="WW8Num28z0">
    <w:name w:val="WW8Num28z0"/>
    <w:qFormat/>
    <w:rPr>
      <w:rFonts w:ascii="Wingdings" w:hAnsi="Wingdings" w:cs="Wingdings"/>
    </w:rPr>
  </w:style>
  <w:style w:type="character" w:styleId="WW8Num30z0">
    <w:name w:val="WW8Num30z0"/>
    <w:qFormat/>
    <w:rPr>
      <w:b w:val="false"/>
    </w:rPr>
  </w:style>
  <w:style w:type="character" w:styleId="WW8Num32z0">
    <w:name w:val="WW8Num32z0"/>
    <w:qFormat/>
    <w:rPr/>
  </w:style>
  <w:style w:type="character" w:styleId="WW8Num35z0">
    <w:name w:val="WW8Num35z0"/>
    <w:qFormat/>
    <w:rPr>
      <w:rFonts w:ascii="Symbol" w:hAnsi="Symbol" w:cs="Symbol"/>
      <w:sz w:val="22"/>
    </w:rPr>
  </w:style>
  <w:style w:type="character" w:styleId="WW8Num38z0">
    <w:name w:val="WW8Num38z0"/>
    <w:qFormat/>
    <w:rPr/>
  </w:style>
  <w:style w:type="character" w:styleId="WW8Num39z0">
    <w:name w:val="WW8Num39z0"/>
    <w:qFormat/>
    <w:rPr>
      <w:rFonts w:ascii="Wingdings" w:hAnsi="Wingdings" w:cs="Wingdings"/>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style>
  <w:style w:type="character" w:styleId="WW8Num44z0">
    <w:name w:val="WW8Num44z0"/>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7z0">
    <w:name w:val="WW8Num57z0"/>
    <w:qFormat/>
    <w:rPr/>
  </w:style>
  <w:style w:type="character" w:styleId="WW8Num59z0">
    <w:name w:val="WW8Num59z0"/>
    <w:qFormat/>
    <w:rPr>
      <w:rFonts w:ascii="Symbol" w:hAnsi="Symbol" w:cs="Symbol"/>
    </w:rPr>
  </w:style>
  <w:style w:type="character" w:styleId="WW8Num62z0">
    <w:name w:val="WW8Num62z0"/>
    <w:qFormat/>
    <w:rPr/>
  </w:style>
  <w:style w:type="character" w:styleId="WW8Num67z0">
    <w:name w:val="WW8Num67z0"/>
    <w:qFormat/>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4z0">
    <w:name w:val="WW8Num74z0"/>
    <w:qFormat/>
    <w:rPr>
      <w:rFonts w:ascii="Wingdings" w:hAnsi="Wingdings" w:cs="Wingdings"/>
    </w:rPr>
  </w:style>
  <w:style w:type="character" w:styleId="WW8Num76z0">
    <w:name w:val="WW8Num76z0"/>
    <w:qFormat/>
    <w:rPr/>
  </w:style>
  <w:style w:type="character" w:styleId="WW8Num77z0">
    <w:name w:val="WW8Num77z0"/>
    <w:qFormat/>
    <w:rPr>
      <w:rFonts w:ascii="Symbol" w:hAnsi="Symbol" w:cs="Symbol"/>
    </w:rPr>
  </w:style>
  <w:style w:type="character" w:styleId="WW8Num79z0">
    <w:name w:val="WW8Num79z0"/>
    <w:qFormat/>
    <w:rPr>
      <w:rFonts w:ascii="Wingdings" w:hAnsi="Wingdings" w:cs="Wingdings"/>
    </w:rPr>
  </w:style>
  <w:style w:type="character" w:styleId="WW8Num82z0">
    <w:name w:val="WW8Num82z0"/>
    <w:qFormat/>
    <w:rPr>
      <w:rFonts w:ascii="Symbol" w:hAnsi="Symbol" w:cs="Symbol"/>
      <w:sz w:val="20"/>
    </w:rPr>
  </w:style>
  <w:style w:type="character" w:styleId="WW8Num82z1">
    <w:name w:val="WW8Num82z1"/>
    <w:qFormat/>
    <w:rPr>
      <w:rFonts w:ascii="Courier New" w:hAnsi="Courier New" w:cs="Courier New"/>
      <w:sz w:val="20"/>
    </w:rPr>
  </w:style>
  <w:style w:type="character" w:styleId="WW8Num82z2">
    <w:name w:val="WW8Num82z2"/>
    <w:qFormat/>
    <w:rPr>
      <w:rFonts w:ascii="Wingdings" w:hAnsi="Wingdings" w:cs="Wingdings"/>
      <w:sz w:val="20"/>
    </w:rPr>
  </w:style>
  <w:style w:type="character" w:styleId="WW8Num83z0">
    <w:name w:val="WW8Num83z0"/>
    <w:qFormat/>
    <w:rPr>
      <w:rFonts w:ascii="Symbol" w:hAnsi="Symbol" w:cs="Symbol"/>
    </w:rPr>
  </w:style>
  <w:style w:type="character" w:styleId="WW8Num84z0">
    <w:name w:val="WW8Num84z0"/>
    <w:qFormat/>
    <w:rPr/>
  </w:style>
  <w:style w:type="character" w:styleId="WW8Num86z0">
    <w:name w:val="WW8Num86z0"/>
    <w:qFormat/>
    <w:rPr>
      <w:rFonts w:ascii="Wingdings" w:hAnsi="Wingdings" w:cs="Wingdings"/>
    </w:rPr>
  </w:style>
  <w:style w:type="character" w:styleId="WW8Num89z0">
    <w:name w:val="WW8Num89z0"/>
    <w:qFormat/>
    <w:rPr/>
  </w:style>
  <w:style w:type="character" w:styleId="WW8Num93z0">
    <w:name w:val="WW8Num93z0"/>
    <w:qFormat/>
    <w:rPr>
      <w:rFonts w:ascii="Wingdings" w:hAnsi="Wingdings" w:cs="Wingdings"/>
    </w:rPr>
  </w:style>
  <w:style w:type="character" w:styleId="WW8Num94z0">
    <w:name w:val="WW8Num94z0"/>
    <w:qFormat/>
    <w:rPr>
      <w:rFonts w:ascii="Symbol" w:hAnsi="Symbol" w:cs="Symbol"/>
    </w:rPr>
  </w:style>
  <w:style w:type="character" w:styleId="WW8Num96z0">
    <w:name w:val="WW8Num96z0"/>
    <w:qFormat/>
    <w:rPr>
      <w:rFonts w:ascii="Wingdings" w:hAnsi="Wingdings" w:cs="Wingdings"/>
    </w:rPr>
  </w:style>
  <w:style w:type="character" w:styleId="WW8Num97z0">
    <w:name w:val="WW8Num97z0"/>
    <w:qFormat/>
    <w:rPr>
      <w:rFonts w:ascii="Wingdings" w:hAnsi="Wingdings" w:cs="Wingdings"/>
    </w:rPr>
  </w:style>
  <w:style w:type="character" w:styleId="WW8Num100z0">
    <w:name w:val="WW8Num100z0"/>
    <w:qFormat/>
    <w:rPr/>
  </w:style>
  <w:style w:type="character" w:styleId="WW8Num101z0">
    <w:name w:val="WW8Num101z0"/>
    <w:qFormat/>
    <w:rPr>
      <w:rFonts w:ascii="Wingdings" w:hAnsi="Wingdings" w:cs="Wingdings"/>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7z0">
    <w:name w:val="WW8Num107z0"/>
    <w:qFormat/>
    <w:rPr/>
  </w:style>
  <w:style w:type="character" w:styleId="WW8Num108z0">
    <w:name w:val="WW8Num108z0"/>
    <w:qFormat/>
    <w:rPr>
      <w:rFonts w:ascii="Wingdings" w:hAnsi="Wingdings" w:cs="Wingdings"/>
    </w:rPr>
  </w:style>
  <w:style w:type="character" w:styleId="WW8Num109z0">
    <w:name w:val="WW8Num109z0"/>
    <w:qFormat/>
    <w:rPr/>
  </w:style>
  <w:style w:type="character" w:styleId="WW8Num110z0">
    <w:name w:val="WW8Num110z0"/>
    <w:qFormat/>
    <w:rPr>
      <w:rFonts w:ascii="Wingdings" w:hAnsi="Wingdings" w:cs="Wingdings"/>
    </w:rPr>
  </w:style>
  <w:style w:type="character" w:styleId="WW8Num111z0">
    <w:name w:val="WW8Num111z0"/>
    <w:qFormat/>
    <w:rPr>
      <w:rFonts w:ascii="Symbol" w:hAnsi="Symbol" w:cs="Symbol"/>
    </w:rPr>
  </w:style>
  <w:style w:type="character" w:styleId="WW8Num112z0">
    <w:name w:val="WW8Num112z0"/>
    <w:qFormat/>
    <w:rPr/>
  </w:style>
  <w:style w:type="character" w:styleId="WW8Num114z0">
    <w:name w:val="WW8Num114z0"/>
    <w:qFormat/>
    <w:rPr/>
  </w:style>
  <w:style w:type="character" w:styleId="WW8Num118z0">
    <w:name w:val="WW8Num118z0"/>
    <w:qFormat/>
    <w:rPr/>
  </w:style>
  <w:style w:type="character" w:styleId="WW8Num120z0">
    <w:name w:val="WW8Num120z0"/>
    <w:qFormat/>
    <w:rPr/>
  </w:style>
  <w:style w:type="character" w:styleId="WW8Num121z0">
    <w:name w:val="WW8Num121z0"/>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sz w:val="20"/>
    </w:rPr>
  </w:style>
  <w:style w:type="character" w:styleId="WW8Num130z1">
    <w:name w:val="WW8Num130z1"/>
    <w:qFormat/>
    <w:rPr>
      <w:rFonts w:ascii="Courier New" w:hAnsi="Courier New" w:cs="Courier New"/>
      <w:sz w:val="20"/>
    </w:rPr>
  </w:style>
  <w:style w:type="character" w:styleId="WW8Num130z2">
    <w:name w:val="WW8Num130z2"/>
    <w:qFormat/>
    <w:rPr>
      <w:rFonts w:ascii="Wingdings" w:hAnsi="Wingdings" w:cs="Wingdings"/>
      <w:sz w:val="20"/>
    </w:rPr>
  </w:style>
  <w:style w:type="character" w:styleId="WW8NumSt11z0">
    <w:name w:val="WW8NumSt11z0"/>
    <w:qFormat/>
    <w:rPr>
      <w:rFonts w:ascii="Monotype Sorts" w:hAnsi="Monotype Sorts" w:cs="Monotype Sorts"/>
      <w:sz w:val="15"/>
    </w:rPr>
  </w:style>
  <w:style w:type="character" w:styleId="WW8NumSt12z0">
    <w:name w:val="WW8NumSt12z0"/>
    <w:qFormat/>
    <w:rPr>
      <w:rFonts w:ascii="Monotype Sorts" w:hAnsi="Monotype Sorts" w:cs="Monotype Sorts"/>
      <w:sz w:val="14"/>
    </w:rPr>
  </w:style>
  <w:style w:type="character" w:styleId="WW8NumSt13z0">
    <w:name w:val="WW8NumSt13z0"/>
    <w:qFormat/>
    <w:rPr>
      <w:rFonts w:ascii="Monotype Sorts" w:hAnsi="Monotype Sorts" w:cs="Monotype Sorts"/>
      <w:sz w:val="12"/>
    </w:rPr>
  </w:style>
  <w:style w:type="character" w:styleId="WW8NumSt14z0">
    <w:name w:val="WW8NumSt14z0"/>
    <w:qFormat/>
    <w:rPr>
      <w:rFonts w:ascii="Symbol" w:hAnsi="Symbol" w:cs="Symbol"/>
      <w:sz w:val="13"/>
    </w:rPr>
  </w:style>
  <w:style w:type="character" w:styleId="WW8NumSt15z0">
    <w:name w:val="WW8NumSt15z0"/>
    <w:qFormat/>
    <w:rPr>
      <w:rFonts w:ascii="Monotype Sorts" w:hAnsi="Monotype Sorts" w:cs="Monotype Sorts"/>
      <w:sz w:val="24"/>
    </w:rPr>
  </w:style>
  <w:style w:type="character" w:styleId="WW8NumSt16z0">
    <w:name w:val="WW8NumSt16z0"/>
    <w:qFormat/>
    <w:rPr>
      <w:rFonts w:ascii="Monotype Sorts" w:hAnsi="Monotype Sorts" w:cs="Monotype Sorts"/>
      <w:sz w:val="11"/>
    </w:rPr>
  </w:style>
  <w:style w:type="character" w:styleId="WW8NumSt17z0">
    <w:name w:val="WW8NumSt17z0"/>
    <w:qFormat/>
    <w:rPr>
      <w:rFonts w:ascii="Symbol" w:hAnsi="Symbol" w:cs="Symbol"/>
      <w:sz w:val="9"/>
    </w:rPr>
  </w:style>
  <w:style w:type="character" w:styleId="WW8NumSt44z0">
    <w:name w:val="WW8NumSt44z0"/>
    <w:qFormat/>
    <w:rPr>
      <w:rFonts w:ascii="Monotype Sorts" w:hAnsi="Monotype Sorts" w:cs="Monotype Sorts"/>
      <w:sz w:val="60"/>
    </w:rPr>
  </w:style>
  <w:style w:type="character" w:styleId="WW8NumSt45z0">
    <w:name w:val="WW8NumSt45z0"/>
    <w:qFormat/>
    <w:rPr>
      <w:rFonts w:ascii="Monotype Sorts" w:hAnsi="Monotype Sorts" w:cs="Monotype Sorts"/>
      <w:sz w:val="48"/>
    </w:rPr>
  </w:style>
  <w:style w:type="character" w:styleId="WW8NumSt46z0">
    <w:name w:val="WW8NumSt46z0"/>
    <w:qFormat/>
    <w:rPr>
      <w:rFonts w:ascii="Monotype Sorts" w:hAnsi="Monotype Sorts" w:cs="Monotype Sorts"/>
      <w:sz w:val="54"/>
    </w:rPr>
  </w:style>
  <w:style w:type="character" w:styleId="WW8NumSt112z0">
    <w:name w:val="WW8NumSt11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 w:val="left" w:pos="1008" w:leader="none"/>
        <w:tab w:val="decimal" w:pos="4608" w:leader="dot"/>
      </w:tabs>
      <w:spacing w:before="120" w:after="120"/>
    </w:pPr>
    <w:rPr>
      <w:sz w:val="24"/>
    </w:rPr>
  </w:style>
  <w:style w:type="paragraph" w:styleId="ListBullet2">
    <w:name w:val="List Bullet 2"/>
    <w:basedOn w:val="Normal"/>
    <w:qFormat/>
    <w:pPr>
      <w:numPr>
        <w:ilvl w:val="0"/>
        <w:numId w:val="9"/>
      </w:numPr>
      <w:tabs>
        <w:tab w:val="clear" w:pos="720"/>
        <w:tab w:val="left" w:pos="1008" w:leader="none"/>
        <w:tab w:val="decimal" w:pos="4608" w:leader="dot"/>
      </w:tabs>
      <w:spacing w:before="120" w:after="120"/>
    </w:pPr>
    <w:rPr>
      <w:sz w:val="24"/>
    </w:rPr>
  </w:style>
  <w:style w:type="paragraph" w:styleId="ListBullet3">
    <w:name w:val="List Bullet 3"/>
    <w:basedOn w:val="Normal"/>
    <w:qFormat/>
    <w:pPr>
      <w:numPr>
        <w:ilvl w:val="0"/>
        <w:numId w:val="8"/>
      </w:numPr>
      <w:tabs>
        <w:tab w:val="clear" w:pos="720"/>
        <w:tab w:val="left" w:pos="1008" w:leader="none"/>
        <w:tab w:val="decimal" w:pos="4608" w:leader="dot"/>
      </w:tabs>
      <w:spacing w:before="120" w:after="120"/>
    </w:pPr>
    <w:rPr>
      <w:sz w:val="24"/>
    </w:rPr>
  </w:style>
  <w:style w:type="paragraph" w:styleId="ListBullet4">
    <w:name w:val="List Bullet 4"/>
    <w:basedOn w:val="Normal"/>
    <w:qFormat/>
    <w:pPr>
      <w:numPr>
        <w:ilvl w:val="0"/>
        <w:numId w:val="7"/>
      </w:numPr>
      <w:tabs>
        <w:tab w:val="clear" w:pos="720"/>
        <w:tab w:val="left" w:pos="1008" w:leader="none"/>
        <w:tab w:val="decimal" w:pos="4608" w:leader="dot"/>
      </w:tabs>
      <w:spacing w:before="120" w:after="120"/>
    </w:pPr>
    <w:rPr>
      <w:sz w:val="24"/>
    </w:rPr>
  </w:style>
  <w:style w:type="paragraph" w:styleId="ListBullet5">
    <w:name w:val="List Bullet 5"/>
    <w:basedOn w:val="Normal"/>
    <w:qFormat/>
    <w:pPr>
      <w:numPr>
        <w:ilvl w:val="0"/>
        <w:numId w:val="6"/>
      </w:numPr>
      <w:tabs>
        <w:tab w:val="clear" w:pos="720"/>
        <w:tab w:val="left" w:pos="1008" w:leader="none"/>
        <w:tab w:val="decimal" w:pos="4608" w:leader="dot"/>
      </w:tabs>
      <w:spacing w:before="120" w:after="120"/>
    </w:pPr>
    <w:rPr>
      <w:sz w:val="24"/>
    </w:rPr>
  </w:style>
  <w:style w:type="paragraph" w:styleId="ListNumber">
    <w:name w:val="List Number"/>
    <w:basedOn w:val="Normal"/>
    <w:qFormat/>
    <w:pPr>
      <w:numPr>
        <w:ilvl w:val="0"/>
        <w:numId w:val="10"/>
      </w:numPr>
      <w:tabs>
        <w:tab w:val="clear" w:pos="720"/>
        <w:tab w:val="left" w:pos="1008" w:leader="none"/>
        <w:tab w:val="decimal" w:pos="4608" w:leader="dot"/>
      </w:tabs>
      <w:spacing w:before="120" w:after="120"/>
    </w:pPr>
    <w:rPr>
      <w:sz w:val="24"/>
    </w:rPr>
  </w:style>
  <w:style w:type="paragraph" w:styleId="ListNumber2">
    <w:name w:val="List Number 2"/>
    <w:basedOn w:val="Normal"/>
    <w:qFormat/>
    <w:pPr>
      <w:numPr>
        <w:ilvl w:val="0"/>
        <w:numId w:val="5"/>
      </w:numPr>
      <w:tabs>
        <w:tab w:val="clear" w:pos="720"/>
        <w:tab w:val="left" w:pos="1008" w:leader="none"/>
        <w:tab w:val="decimal" w:pos="4608" w:leader="dot"/>
      </w:tabs>
      <w:spacing w:before="120" w:after="120"/>
    </w:pPr>
    <w:rPr>
      <w:sz w:val="24"/>
    </w:rPr>
  </w:style>
  <w:style w:type="paragraph" w:styleId="ListNumber3">
    <w:name w:val="List Number 3"/>
    <w:basedOn w:val="Normal"/>
    <w:qFormat/>
    <w:pPr>
      <w:numPr>
        <w:ilvl w:val="0"/>
        <w:numId w:val="4"/>
      </w:numPr>
      <w:tabs>
        <w:tab w:val="clear" w:pos="720"/>
        <w:tab w:val="left" w:pos="1008" w:leader="none"/>
        <w:tab w:val="decimal" w:pos="4608" w:leader="dot"/>
      </w:tabs>
      <w:spacing w:before="120" w:after="120"/>
    </w:pPr>
    <w:rPr>
      <w:sz w:val="24"/>
    </w:rPr>
  </w:style>
  <w:style w:type="paragraph" w:styleId="ListNumber4">
    <w:name w:val="List Number 4"/>
    <w:basedOn w:val="Normal"/>
    <w:qFormat/>
    <w:pPr>
      <w:numPr>
        <w:ilvl w:val="0"/>
        <w:numId w:val="3"/>
      </w:numPr>
      <w:tabs>
        <w:tab w:val="clear" w:pos="720"/>
        <w:tab w:val="left" w:pos="1008" w:leader="none"/>
        <w:tab w:val="decimal" w:pos="4608" w:leader="dot"/>
      </w:tabs>
      <w:spacing w:before="120" w:after="120"/>
    </w:pPr>
    <w:rPr>
      <w:sz w:val="24"/>
    </w:rPr>
  </w:style>
  <w:style w:type="paragraph" w:styleId="ListNumber5">
    <w:name w:val="List Number 5"/>
    <w:basedOn w:val="Normal"/>
    <w:qFormat/>
    <w:pPr>
      <w:numPr>
        <w:ilvl w:val="0"/>
        <w:numId w:val="2"/>
      </w:numPr>
      <w:tabs>
        <w:tab w:val="clear" w:pos="720"/>
        <w:tab w:val="left" w:pos="1008" w:leader="none"/>
        <w:tab w:val="decimal" w:pos="4608" w:leader="dot"/>
      </w:tabs>
      <w:spacing w:before="120" w:after="12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etkin@caem.org"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mid yr mailout2</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2001-06-06T13:08:00Z</dcterms:created>
  <dc:creator>CAEM User</dc:creator>
  <dc:description/>
  <dc:language>en-CA</dc:language>
  <cp:lastModifiedBy>User</cp:lastModifiedBy>
  <dcterms:modified xsi:type="dcterms:W3CDTF">2001-06-06T13:08:00Z</dcterms:modified>
  <cp:revision>2</cp:revision>
  <dc:subject/>
  <dc:title>California’s RED Index Profile </dc:title>
</cp:coreProperties>
</file>