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rPr>
      </w:pPr>
      <w:r>
        <w:rPr>
          <w:sz w:val="20"/>
        </w:rPr>
        <w:t>California is worth 50 basis points</w:t>
      </w:r>
    </w:p>
    <w:p>
      <w:pPr>
        <w:pStyle w:val="Normal"/>
        <w:jc w:val="both"/>
        <w:rPr>
          <w:sz w:val="20"/>
        </w:rPr>
      </w:pPr>
      <w:r>
        <w:rPr>
          <w:sz w:val="20"/>
        </w:rPr>
        <w:t>Mark M McNabb</w:t>
      </w:r>
    </w:p>
    <w:p>
      <w:pPr>
        <w:pStyle w:val="Normal"/>
        <w:jc w:val="both"/>
        <w:rPr>
          <w:sz w:val="20"/>
        </w:rPr>
      </w:pPr>
      <w:r>
        <w:rPr>
          <w:sz w:val="20"/>
        </w:rPr>
      </w:r>
    </w:p>
    <w:p>
      <w:pPr>
        <w:pStyle w:val="Normal"/>
        <w:jc w:val="both"/>
        <w:rPr>
          <w:sz w:val="20"/>
        </w:rPr>
      </w:pPr>
      <w:r>
        <w:rPr>
          <w:sz w:val="20"/>
        </w:rPr>
        <w:t>In the wailing of bond traders who worry over inflation and those who worry over deflation, you can find one story that trumps either concern:  California’s public policy failure will give the Federal Reserve Open Market Committee (FOMC) room to cut rates 50bp next week.  The reasoning is apparent although perhaps not clear to many, so let’s examine the problem’s history briefly.</w:t>
      </w:r>
    </w:p>
    <w:p>
      <w:pPr>
        <w:pStyle w:val="Normal"/>
        <w:jc w:val="both"/>
        <w:rPr>
          <w:sz w:val="20"/>
        </w:rPr>
      </w:pPr>
      <w:r>
        <w:rPr>
          <w:sz w:val="20"/>
        </w:rPr>
      </w:r>
    </w:p>
    <w:p>
      <w:pPr>
        <w:pStyle w:val="BodyText"/>
        <w:rPr>
          <w:sz w:val="20"/>
        </w:rPr>
      </w:pPr>
      <w:r>
        <w:rPr>
          <w:sz w:val="20"/>
        </w:rPr>
        <w:t>First, there was NO deregulation in California – one of the great modern media myths.  The consumer was deregulated but the utilities were not.  Consumers, especially corporations, were set free to buy energy from anyone.  However, the utilities remain regulated.  They have to sell at 50 even if they could sell at 100 and worse yet, they must sell at 50 even if it costs them 100.  Even in the dot com world, Californians learned (I hope) that if revenue is less than cost that financial security becomes problematic.</w:t>
      </w:r>
    </w:p>
    <w:p>
      <w:pPr>
        <w:pStyle w:val="Normal"/>
        <w:jc w:val="both"/>
        <w:rPr>
          <w:sz w:val="20"/>
        </w:rPr>
      </w:pPr>
      <w:r>
        <w:rPr>
          <w:sz w:val="20"/>
        </w:rPr>
      </w:r>
    </w:p>
    <w:p>
      <w:pPr>
        <w:pStyle w:val="Normal"/>
        <w:jc w:val="both"/>
        <w:rPr>
          <w:sz w:val="20"/>
        </w:rPr>
      </w:pPr>
      <w:r>
        <w:rPr>
          <w:sz w:val="20"/>
        </w:rPr>
        <w:t xml:space="preserve">The system California has in place assured that all the risk management of price volatility of energy prices would be conducted by those least able to manage price risk:  the consumers of California and the regulated utilities.  Now by seeking long-term contracts, California wishes to transfer the risk management of energy prices back to the suppliers of energy but again California is in an all-or-nothing mindset of locking in a below market price over a relatively short time (two to three years) such that suppliers cannot effectively manage the pricing risks.  Either California will have to use a long-term contract, agree to pay higher prices and pass those prices along, or decide to dismantle much of the current regulatory structure and contract part of the supply long-term and continue to roll the dice on the rest.  </w:t>
      </w:r>
    </w:p>
    <w:p>
      <w:pPr>
        <w:pStyle w:val="Normal"/>
        <w:jc w:val="both"/>
        <w:rPr>
          <w:sz w:val="20"/>
        </w:rPr>
      </w:pPr>
      <w:r>
        <w:rPr>
          <w:sz w:val="20"/>
        </w:rPr>
      </w:r>
    </w:p>
    <w:p>
      <w:pPr>
        <w:pStyle w:val="Normal"/>
        <w:jc w:val="both"/>
        <w:rPr>
          <w:sz w:val="20"/>
        </w:rPr>
      </w:pPr>
      <w:r>
        <w:rPr>
          <w:sz w:val="20"/>
        </w:rPr>
        <w:t xml:space="preserve">California’s politicians took an insular view by adopting such a collectivist structure.  They thought that by aggregating buying power in one omnipotent communal authority, that that desire of energy suppliers to do business with the Californians would be so great as to obtain a Wal-Mart like deal on prices.  Instead, California is the marginal buyer who now raises price ever higher in a market of tight supply and high demand.  </w:t>
      </w:r>
    </w:p>
    <w:p>
      <w:pPr>
        <w:pStyle w:val="Normal"/>
        <w:jc w:val="both"/>
        <w:rPr>
          <w:sz w:val="20"/>
        </w:rPr>
      </w:pPr>
      <w:r>
        <w:rPr>
          <w:sz w:val="20"/>
        </w:rPr>
      </w:r>
    </w:p>
    <w:p>
      <w:pPr>
        <w:pStyle w:val="Normal"/>
        <w:jc w:val="both"/>
        <w:rPr>
          <w:sz w:val="20"/>
        </w:rPr>
      </w:pPr>
      <w:r>
        <w:rPr>
          <w:sz w:val="20"/>
        </w:rPr>
        <w:t xml:space="preserve">California did become the ‘price setter’ in the market  -- only it sets them higher as suppliers know the cards held by the largest user.  To give you an idea of how inverted the market has become, Alcoa and other heavy industry manufacturers have quit operating their facilities, sent workers home, and are making tens of millions of dollars every month by selling their power back to the grid for California’s benefit.  It is more profitable to generate profits in electricity than aluminum production.  You wouldn’t play poker this way, you wouldn’t reveal your short positions to the pit in Chicago, so why would you want to give the market one large piece of information rather than have demand distributed?  Seems the Californians have the gun pointed in the wrong direction.  </w:t>
      </w:r>
    </w:p>
    <w:p>
      <w:pPr>
        <w:pStyle w:val="Normal"/>
        <w:jc w:val="both"/>
        <w:rPr>
          <w:sz w:val="20"/>
        </w:rPr>
      </w:pPr>
      <w:r>
        <w:rPr>
          <w:sz w:val="20"/>
        </w:rPr>
      </w:r>
    </w:p>
    <w:p>
      <w:pPr>
        <w:pStyle w:val="Normal"/>
        <w:jc w:val="both"/>
        <w:rPr>
          <w:sz w:val="20"/>
        </w:rPr>
      </w:pPr>
      <w:r>
        <w:rPr>
          <w:sz w:val="20"/>
        </w:rPr>
        <w:t>Is there a short-term fix?  No, next question.  Near-term outlook?  With water levels in northwestern lakes running 30% lower than normal, the spring hydroelectric supply could be lighter than Californians wish.  Long-term?  Texas is building two dozen power plants today.  How many are in construction in California, three?  Any other developments?  Yes, Pennsylvania regulators have learned that GPU will face the same difficulty if it cannot charge market prices, as customers who left in 1999 to take cheap power from independents are returning in droves to buy the cheaper regulated power.  Amazing that free market, eh?</w:t>
      </w:r>
    </w:p>
    <w:p>
      <w:pPr>
        <w:pStyle w:val="Normal"/>
        <w:jc w:val="both"/>
        <w:rPr>
          <w:sz w:val="20"/>
        </w:rPr>
      </w:pPr>
      <w:r>
        <w:rPr>
          <w:sz w:val="20"/>
        </w:rPr>
      </w:r>
    </w:p>
    <w:p>
      <w:pPr>
        <w:pStyle w:val="Normal"/>
        <w:jc w:val="both"/>
        <w:rPr>
          <w:sz w:val="20"/>
        </w:rPr>
      </w:pPr>
      <w:r>
        <w:rPr>
          <w:sz w:val="20"/>
        </w:rPr>
        <w:t xml:space="preserve">Now why is this worth a 50 basis point cut from the FOMC?  Simple, 11% of the gross domestic product comes from California and perhaps as much as 20% or so of the ‘technology GDP’.  While it is a significant agricultural producer, the value-add in California comes from its professional and technical services and products.  These have been significant contributors to national job formation and income growth.  Our government estimates that approximately 75% of the past decade’s economic growth and job formation can be attributed to the technology sector of the economy.  An incredible feat considering that technology is a relatively small part of the broad economy (10% to 15%).  Without power, all this ends.  </w:t>
      </w:r>
    </w:p>
    <w:p>
      <w:pPr>
        <w:pStyle w:val="Normal"/>
        <w:jc w:val="both"/>
        <w:rPr>
          <w:sz w:val="20"/>
        </w:rPr>
      </w:pPr>
      <w:r>
        <w:rPr>
          <w:sz w:val="20"/>
        </w:rPr>
      </w:r>
    </w:p>
    <w:p>
      <w:pPr>
        <w:pStyle w:val="Normal"/>
        <w:jc w:val="both"/>
        <w:rPr>
          <w:sz w:val="20"/>
        </w:rPr>
      </w:pPr>
      <w:r>
        <w:rPr>
          <w:sz w:val="20"/>
        </w:rPr>
        <w:t xml:space="preserve">Consider the disruption on productivity of a 90-minute rolling blackout.  Computers reset and office workers are interrupted even if only by the realization that power is switching to an alternate generator.  Other effects could be that traffic snarls, gas pumps at service stations quit, pipelines halt pumping gasoline or natural gas to users, alarm systems without proper backup fail, and the effects ripple throughout the local economy.  </w:t>
      </w:r>
    </w:p>
    <w:p>
      <w:pPr>
        <w:pStyle w:val="Normal"/>
        <w:jc w:val="both"/>
        <w:rPr>
          <w:sz w:val="20"/>
        </w:rPr>
      </w:pPr>
      <w:r>
        <w:rPr>
          <w:sz w:val="20"/>
        </w:rPr>
      </w:r>
    </w:p>
    <w:p>
      <w:pPr>
        <w:pStyle w:val="Normal"/>
        <w:jc w:val="both"/>
        <w:rPr>
          <w:sz w:val="20"/>
        </w:rPr>
      </w:pPr>
      <w:r>
        <w:rPr>
          <w:sz w:val="20"/>
        </w:rPr>
        <w:t xml:space="preserve">Consider the more subtle impact of higher energy prices:  reduced job formation, reduced disposable income, and reduced economic growth.  The evidence over history and especially borne out in 1990 is that an energy shock REDUCES GROWTH.  It is the same thing as a rate hike  -- it raises the marginal cost of growth to individuals and businesses alike.  The inflationary impact of an energy shock is wildly overstated as energy’s importance in the economy is half of its weight from the 1970s but the impact of energy as a higher hurdle rate to prospective new investment and consumption is under-appreciated.  In 1990, GDP plummeted while the CPI fell from 5% to 3% (ignoring a one month spike) during the first five months following the Iraqi invasion of Kuwait. </w:t>
      </w:r>
    </w:p>
    <w:p>
      <w:pPr>
        <w:pStyle w:val="Normal"/>
        <w:jc w:val="both"/>
        <w:rPr>
          <w:sz w:val="20"/>
        </w:rPr>
      </w:pPr>
      <w:r>
        <w:rPr>
          <w:sz w:val="20"/>
        </w:rPr>
      </w:r>
    </w:p>
    <w:p>
      <w:pPr>
        <w:pStyle w:val="Normal"/>
        <w:jc w:val="both"/>
        <w:rPr/>
      </w:pPr>
      <w:r>
        <w:rPr>
          <w:sz w:val="20"/>
        </w:rPr>
        <w:t>The FOMC has the twin charge of fighting inflation while providing the conditions for economic growth.  They overplayed the inflation fighting hand to the point that capital markets ceased to work properly  (and nearly damaged the Fed’s reputation) so the first 50 basis points on January 3</w:t>
      </w:r>
      <w:r>
        <w:rPr>
          <w:sz w:val="20"/>
          <w:vertAlign w:val="superscript"/>
        </w:rPr>
        <w:t>rd</w:t>
      </w:r>
      <w:r>
        <w:rPr>
          <w:sz w:val="20"/>
        </w:rPr>
        <w:t xml:space="preserve"> accomplished the immediate goal of reassuring the markets and fans of the FOMC.  However, the more difficult task is to turn the economic tanker around, especially when the left coast is anchored in a self-inflicted economic disaster.  Alan Greenspan is good, maybe as good as Bob Woodward’s new book suggests, but he could rub his hands together all day and not provide any warmth to surfers in Solana Beach or programmers in San Jose.  The only reasonable choice for the FOMC is to significantly reduce the marginal cost of growth and prevent California from pulling the country into the icy Humboldt Current.  It’s 50 basis points or bust!  Just don’t go west.</w:t>
      </w:r>
    </w:p>
    <w:p>
      <w:pPr>
        <w:pStyle w:val="Normal"/>
        <w:jc w:val="both"/>
        <w:rPr>
          <w:sz w:val="20"/>
        </w:rPr>
      </w:pPr>
      <w:r>
        <w:rPr>
          <w:sz w:val="20"/>
        </w:rPr>
      </w:r>
    </w:p>
    <w:p>
      <w:pPr>
        <w:pStyle w:val="Normal"/>
        <w:jc w:val="both"/>
        <w:rPr>
          <w:sz w:val="20"/>
        </w:rPr>
      </w:pPr>
      <w:r>
        <w:rPr>
          <w:sz w:val="20"/>
        </w:rPr>
        <w:t>For speculators, the potential wildcards to play are numerous.  My preference would be only to play the rate cut with the financials however there are some powerful ideas (sorry!) that deserve mention.  The power generators and natural gas suppliers may get a decent deal, keep an eye on Duke (DUK), Southern Power, Calpine (CPN), Enron (ENE), and El Paso Energy (EPG) for a trading opportunity.  The California utilities may find salvation over a one-year horizon, Pacific Gas and Electric (PCG) and Southern California Edison (EIX).  A more interesting idea is contract manufacturing companies such as Solectron (SLR), Flextronics (FLEX), SCI Systems (SCI) and Sanmina (SANM) as large technology manufacturers contract production away from California over the next few quarters.  Another idea would be a paired trade of long a fabless chipmaker and short a chipmaker with production in California but will leave that to the creative hedge funds.  The faddish alternative energy stocks have been lively lately.  Finally, two power supply trades:  American Power Conversion (APCC) and Power One (PWER) could get a bump from the free advertising generated by the commotion or the increased demand by firms sensitive to the issue of losing power.  Somewhere in this mess is an opportunity.  Good luck to Californians, Fed governors, and speculators alike.</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Mark M. McNabb, Ph.D., CFA, is a professor of finance at Virginia Tech University and usually confines his interest in power to ignition trouble on Oldsmobile V8s.  Dr. McNabb has a position in El Paso Energy and in American Power Conversion and positions in a few money center banks (including a call option) because he believes Alan Greenspan has no options.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2001-01-20T15:41:00Z</dcterms:created>
  <dc:creator>Preferred Customer</dc:creator>
  <dc:description/>
  <dc:language>en-CA</dc:language>
  <cp:lastModifiedBy>Preferred Customer</cp:lastModifiedBy>
  <dcterms:modified xsi:type="dcterms:W3CDTF">2001-01-22T00:28:00Z</dcterms:modified>
  <cp:revision>13</cp:revision>
  <dc:subject/>
  <dc:title>California is worth 50 basis points</dc:title>
</cp:coreProperties>
</file>