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aps/>
          <w:sz w:val="40"/>
        </w:rPr>
      </w:pPr>
      <w:r>
        <w:rPr>
          <w:caps/>
          <w:sz w:val="40"/>
        </w:rPr>
        <w:t>California Warnings for Europe?  Broad Lessons</w:t>
      </w:r>
    </w:p>
    <w:p>
      <w:pPr>
        <w:pStyle w:val="Heading"/>
        <w:rPr>
          <w:caps/>
          <w:sz w:val="40"/>
        </w:rPr>
      </w:pPr>
      <w:r>
        <w:rPr>
          <w:caps/>
          <w:sz w:val="40"/>
        </w:rPr>
      </w:r>
    </w:p>
    <w:p>
      <w:pPr>
        <w:pStyle w:val="Normal"/>
        <w:jc w:val="both"/>
        <w:rPr>
          <w:caps/>
          <w:sz w:val="40"/>
        </w:rPr>
      </w:pPr>
      <w:r>
        <w:rPr>
          <w:caps/>
          <w:sz w:val="40"/>
        </w:rPr>
      </w:r>
    </w:p>
    <w:p>
      <w:pPr>
        <w:pStyle w:val="Normal"/>
        <w:jc w:val="both"/>
        <w:rPr/>
      </w:pPr>
      <w:r>
        <w:rPr/>
      </w:r>
    </w:p>
    <w:p>
      <w:pPr>
        <w:pStyle w:val="Normal"/>
        <w:numPr>
          <w:ilvl w:val="0"/>
          <w:numId w:val="4"/>
        </w:numPr>
        <w:jc w:val="both"/>
        <w:rPr>
          <w:b/>
          <w:caps/>
          <w:sz w:val="28"/>
        </w:rPr>
      </w:pPr>
      <w:r>
        <w:rPr>
          <w:b/>
          <w:caps/>
          <w:sz w:val="28"/>
        </w:rPr>
        <w:t xml:space="preserve">LET THE MARKET WORK: </w:t>
      </w:r>
    </w:p>
    <w:p>
      <w:pPr>
        <w:pStyle w:val="Normal"/>
        <w:ind w:start="720" w:end="0"/>
        <w:jc w:val="both"/>
        <w:rPr>
          <w:sz w:val="28"/>
        </w:rPr>
      </w:pPr>
      <w:r>
        <w:rPr>
          <w:b/>
          <w:sz w:val="28"/>
        </w:rPr>
        <w:t>Make sure price and investment signals reach all players</w:t>
      </w:r>
    </w:p>
    <w:p>
      <w:pPr>
        <w:pStyle w:val="Normal"/>
        <w:ind w:start="720" w:end="0"/>
        <w:jc w:val="both"/>
        <w:rPr>
          <w:sz w:val="28"/>
        </w:rPr>
      </w:pPr>
      <w:r>
        <w:rPr>
          <w:sz w:val="28"/>
        </w:rPr>
      </w:r>
    </w:p>
    <w:p>
      <w:pPr>
        <w:pStyle w:val="Normal"/>
        <w:numPr>
          <w:ilvl w:val="1"/>
          <w:numId w:val="2"/>
        </w:numPr>
        <w:jc w:val="both"/>
        <w:rPr>
          <w:b/>
          <w:caps/>
        </w:rPr>
      </w:pPr>
      <w:r>
        <w:rPr>
          <w:b/>
          <w:caps/>
        </w:rPr>
        <w:t>Revealing supply/demand imbalances rapidly</w:t>
      </w:r>
    </w:p>
    <w:p>
      <w:pPr>
        <w:pStyle w:val="Normal"/>
        <w:jc w:val="both"/>
        <w:rPr>
          <w:b/>
          <w:caps/>
        </w:rPr>
      </w:pPr>
      <w:r>
        <w:rPr>
          <w:b/>
          <w:caps/>
        </w:rPr>
      </w:r>
    </w:p>
    <w:p>
      <w:pPr>
        <w:pStyle w:val="Normal"/>
        <w:numPr>
          <w:ilvl w:val="2"/>
          <w:numId w:val="2"/>
        </w:numPr>
        <w:jc w:val="both"/>
        <w:rPr/>
      </w:pPr>
      <w:r>
        <w:rPr>
          <w:i/>
        </w:rPr>
        <w:t>California</w:t>
      </w:r>
      <w:r>
        <w:rPr>
          <w:caps/>
        </w:rPr>
        <w:t>:</w:t>
      </w:r>
      <w:r>
        <w:rPr/>
        <w:t xml:space="preserve">  Deteriorating imbalance 2000-1 masked by preclusion of utilities’   purchasing forward.</w:t>
      </w:r>
    </w:p>
    <w:p>
      <w:pPr>
        <w:pStyle w:val="Normal"/>
        <w:ind w:start="1440" w:end="0"/>
        <w:jc w:val="both"/>
        <w:rPr/>
      </w:pPr>
      <w:r>
        <w:rPr/>
      </w:r>
    </w:p>
    <w:p>
      <w:pPr>
        <w:pStyle w:val="Normal"/>
        <w:numPr>
          <w:ilvl w:val="2"/>
          <w:numId w:val="2"/>
        </w:numPr>
        <w:jc w:val="both"/>
        <w:rPr/>
      </w:pPr>
      <w:r>
        <w:rPr>
          <w:i/>
        </w:rPr>
        <w:t>UK</w:t>
      </w:r>
      <w:r>
        <w:rPr/>
        <w:t>:  Pool was transparent enough; new CCGTs were built against LT contracts; CFDs linked spot and LT markets.  2001: NETA  “better”?</w:t>
      </w:r>
    </w:p>
    <w:p>
      <w:pPr>
        <w:pStyle w:val="Normal"/>
        <w:jc w:val="both"/>
        <w:rPr/>
      </w:pPr>
      <w:r>
        <w:rPr/>
      </w:r>
    </w:p>
    <w:p>
      <w:pPr>
        <w:pStyle w:val="Normal"/>
        <w:numPr>
          <w:ilvl w:val="2"/>
          <w:numId w:val="2"/>
        </w:numPr>
        <w:jc w:val="both"/>
        <w:rPr/>
      </w:pPr>
      <w:r>
        <w:rPr>
          <w:i/>
        </w:rPr>
        <w:t>NL:</w:t>
      </w:r>
      <w:r>
        <w:rPr/>
        <w:t xml:space="preserve">  Distortions arising from discriminatory allocation in 2000 of interconnection capacity and lack of competition in domestic generation giving false signals? Old CHP capacity protected; apparent incentive to invest in transmission?</w:t>
      </w:r>
    </w:p>
    <w:p>
      <w:pPr>
        <w:pStyle w:val="Normal"/>
        <w:jc w:val="both"/>
        <w:rPr/>
      </w:pPr>
      <w:r>
        <w:rPr/>
      </w:r>
    </w:p>
    <w:p>
      <w:pPr>
        <w:pStyle w:val="Normal"/>
        <w:numPr>
          <w:ilvl w:val="2"/>
          <w:numId w:val="2"/>
        </w:numPr>
        <w:jc w:val="both"/>
        <w:rPr/>
      </w:pPr>
      <w:r>
        <w:rPr>
          <w:i/>
        </w:rPr>
        <w:t>Germany</w:t>
      </w:r>
      <w:r>
        <w:rPr>
          <w:caps/>
        </w:rPr>
        <w:t>:</w:t>
      </w:r>
      <w:r>
        <w:rPr/>
        <w:t xml:space="preserve"> Excess of generating capacity showed up through outbreak of wholesale power competition in 1999.</w:t>
      </w:r>
    </w:p>
    <w:p>
      <w:pPr>
        <w:pStyle w:val="Normal"/>
        <w:jc w:val="both"/>
        <w:rPr/>
      </w:pPr>
      <w:r>
        <w:rPr/>
      </w:r>
    </w:p>
    <w:p>
      <w:pPr>
        <w:pStyle w:val="Normal"/>
        <w:numPr>
          <w:ilvl w:val="2"/>
          <w:numId w:val="2"/>
        </w:numPr>
        <w:jc w:val="both"/>
        <w:rPr/>
      </w:pPr>
      <w:r>
        <w:rPr>
          <w:i/>
        </w:rPr>
        <w:t>Spain</w:t>
      </w:r>
      <w:r>
        <w:rPr/>
        <w:t>: Vertical integration and Pool price uplifts for CTCs and  distribution costs insulate incumbent generators from downward power price pressures (1997 – 2001)</w:t>
      </w:r>
    </w:p>
    <w:p>
      <w:pPr>
        <w:pStyle w:val="Normal"/>
        <w:jc w:val="both"/>
        <w:rPr/>
      </w:pPr>
      <w:r>
        <w:rPr/>
      </w:r>
    </w:p>
    <w:p>
      <w:pPr>
        <w:pStyle w:val="Normal"/>
        <w:numPr>
          <w:ilvl w:val="2"/>
          <w:numId w:val="2"/>
        </w:numPr>
        <w:jc w:val="both"/>
        <w:rPr/>
      </w:pPr>
      <w:r>
        <w:rPr>
          <w:i/>
        </w:rPr>
        <w:t>Italy</w:t>
      </w:r>
      <w:r>
        <w:rPr>
          <w:caps/>
        </w:rPr>
        <w:t>:</w:t>
      </w:r>
      <w:r>
        <w:rPr/>
        <w:t xml:space="preserve">  Inefficient allocation of interconnection capacity for power imports 2000-1 may exaggerate shortage of supply?  Creation of  6 zonal markets may hinder true price signals and the efficient development of new built generation.</w:t>
      </w:r>
    </w:p>
    <w:p>
      <w:pPr>
        <w:pStyle w:val="Normal"/>
        <w:ind w:start="1080" w:end="0"/>
        <w:jc w:val="both"/>
        <w:rPr/>
      </w:pPr>
      <w:r>
        <w:rPr/>
      </w:r>
    </w:p>
    <w:p>
      <w:pPr>
        <w:pStyle w:val="Normal"/>
        <w:numPr>
          <w:ilvl w:val="1"/>
          <w:numId w:val="2"/>
        </w:numPr>
        <w:jc w:val="both"/>
        <w:rPr>
          <w:b/>
          <w:caps/>
        </w:rPr>
      </w:pPr>
      <w:r>
        <w:rPr>
          <w:b/>
          <w:caps/>
        </w:rPr>
        <w:t>CONNecting the functioning of the wholesale and retail markets</w:t>
      </w:r>
    </w:p>
    <w:p>
      <w:pPr>
        <w:pStyle w:val="Normal"/>
        <w:ind w:start="720" w:end="0"/>
        <w:jc w:val="both"/>
        <w:rPr>
          <w:b/>
          <w:caps/>
        </w:rPr>
      </w:pPr>
      <w:r>
        <w:rPr>
          <w:b/>
          <w:caps/>
        </w:rPr>
      </w:r>
    </w:p>
    <w:p>
      <w:pPr>
        <w:pStyle w:val="Normal"/>
        <w:numPr>
          <w:ilvl w:val="2"/>
          <w:numId w:val="2"/>
        </w:numPr>
        <w:jc w:val="both"/>
        <w:rPr/>
      </w:pPr>
      <w:r>
        <w:rPr>
          <w:i/>
        </w:rPr>
        <w:t>California</w:t>
      </w:r>
      <w:r>
        <w:rPr>
          <w:caps/>
        </w:rPr>
        <w:t>:</w:t>
      </w:r>
      <w:r>
        <w:rPr/>
        <w:t xml:space="preserve">  Retail price caps not compatible with pure exposure of incumbent utilities to wholesale </w:t>
      </w:r>
      <w:r>
        <w:rPr>
          <w:u w:val="single"/>
        </w:rPr>
        <w:t>spot</w:t>
      </w:r>
      <w:r>
        <w:rPr/>
        <w:t xml:space="preserve"> price.</w:t>
      </w:r>
    </w:p>
    <w:p>
      <w:pPr>
        <w:pStyle w:val="Normal"/>
        <w:jc w:val="both"/>
        <w:rPr/>
      </w:pPr>
      <w:r>
        <w:rPr/>
      </w:r>
    </w:p>
    <w:p>
      <w:pPr>
        <w:pStyle w:val="Normal"/>
        <w:numPr>
          <w:ilvl w:val="2"/>
          <w:numId w:val="2"/>
        </w:numPr>
        <w:jc w:val="both"/>
        <w:rPr/>
      </w:pPr>
      <w:r>
        <w:rPr>
          <w:i/>
        </w:rPr>
        <w:t>NL</w:t>
      </w:r>
      <w:r>
        <w:rPr/>
        <w:t>:  No clarity about TPA rights of wholesale intermediaries led in 2000 to gaming of APX, for advantage of some retail franchise holders.</w:t>
      </w:r>
    </w:p>
    <w:p>
      <w:pPr>
        <w:pStyle w:val="Normal"/>
        <w:jc w:val="both"/>
        <w:rPr/>
      </w:pPr>
      <w:r>
        <w:rPr/>
      </w:r>
    </w:p>
    <w:p>
      <w:pPr>
        <w:pStyle w:val="Normal"/>
        <w:numPr>
          <w:ilvl w:val="2"/>
          <w:numId w:val="2"/>
        </w:numPr>
        <w:jc w:val="both"/>
        <w:rPr/>
      </w:pPr>
      <w:r>
        <w:rPr>
          <w:i/>
        </w:rPr>
        <w:t>Germany</w:t>
      </w:r>
      <w:r>
        <w:rPr>
          <w:caps/>
        </w:rPr>
        <w:t>:</w:t>
      </w:r>
      <w:r>
        <w:rPr/>
        <w:t xml:space="preserve">  Wholesale power competition has to a large degree fed through into lower retail prices; however as some interconnection capacity risks occasional congestion and as some generating capacity is decommissioned, collective dominance could be abused by vertically integrated incumbents whose transmission arms are only partially unbundled.</w:t>
      </w:r>
    </w:p>
    <w:p>
      <w:pPr>
        <w:pStyle w:val="Normal"/>
        <w:jc w:val="both"/>
        <w:rPr/>
      </w:pPr>
      <w:r>
        <w:rPr/>
      </w:r>
    </w:p>
    <w:p>
      <w:pPr>
        <w:pStyle w:val="Normal"/>
        <w:numPr>
          <w:ilvl w:val="2"/>
          <w:numId w:val="2"/>
        </w:numPr>
        <w:jc w:val="both"/>
        <w:rPr/>
      </w:pPr>
      <w:r>
        <w:rPr>
          <w:i/>
        </w:rPr>
        <w:t>Spain</w:t>
      </w:r>
      <w:r>
        <w:rPr>
          <w:caps/>
        </w:rPr>
        <w:t>:</w:t>
      </w:r>
      <w:r>
        <w:rPr/>
        <w:t xml:space="preserve">  Physical bilateral contracts are only partly permissible and practical, but transactions passing through the Pool guarantee effective cost recovery for incumbent generation and distribution. Pool prices are not driven by supply and demand fundamentals. Thus retail customers are denied the benefit of potential cost savings and offers of supply from new entrants.  New entrants with no generation capacity depend on Pool purchases and imports. Access rules for imports are biased to incumbent neighbouring operators.</w:t>
      </w:r>
    </w:p>
    <w:p>
      <w:pPr>
        <w:pStyle w:val="Normal"/>
        <w:ind w:start="1440" w:end="0"/>
        <w:jc w:val="both"/>
        <w:rPr/>
      </w:pPr>
      <w:r>
        <w:rPr/>
      </w:r>
    </w:p>
    <w:p>
      <w:pPr>
        <w:pStyle w:val="Normal"/>
        <w:numPr>
          <w:ilvl w:val="2"/>
          <w:numId w:val="2"/>
        </w:numPr>
        <w:jc w:val="both"/>
        <w:rPr/>
      </w:pPr>
      <w:r>
        <w:rPr>
          <w:i/>
        </w:rPr>
        <w:t>Italy</w:t>
      </w:r>
      <w:r>
        <w:rPr/>
        <w:t>:  Functioning of new Pool has to be proven; in the meantime import interconnection capacity is allocated on Italian side of border on basis of underlying bilateral end user supply contracts, thus obviating the creation of any transparent wholesale market inside Italy.</w:t>
      </w:r>
    </w:p>
    <w:p>
      <w:pPr>
        <w:pStyle w:val="Normal"/>
        <w:jc w:val="both"/>
        <w:rPr/>
      </w:pPr>
      <w:r>
        <w:rPr/>
      </w:r>
    </w:p>
    <w:p>
      <w:pPr>
        <w:pStyle w:val="Normal"/>
        <w:ind w:start="1440" w:end="0"/>
        <w:jc w:val="both"/>
        <w:rPr/>
      </w:pPr>
      <w:r>
        <w:rPr/>
      </w:r>
    </w:p>
    <w:p>
      <w:pPr>
        <w:pStyle w:val="Normal"/>
        <w:numPr>
          <w:ilvl w:val="0"/>
          <w:numId w:val="4"/>
        </w:numPr>
        <w:jc w:val="both"/>
        <w:rPr>
          <w:b/>
          <w:caps/>
          <w:sz w:val="28"/>
        </w:rPr>
      </w:pPr>
      <w:r>
        <w:rPr>
          <w:b/>
          <w:caps/>
          <w:sz w:val="28"/>
        </w:rPr>
        <w:t xml:space="preserve">Avoid Political/Regulatory “Favours” to privileged market parties: </w:t>
      </w:r>
    </w:p>
    <w:p>
      <w:pPr>
        <w:pStyle w:val="BodyTextIndent2"/>
        <w:rPr/>
      </w:pPr>
      <w:r>
        <w:rPr/>
        <w:t>Concentrate regulatory agenda on TPA, unbundling and competition</w:t>
      </w:r>
    </w:p>
    <w:p>
      <w:pPr>
        <w:pStyle w:val="Normal"/>
        <w:jc w:val="both"/>
        <w:rPr>
          <w:caps/>
        </w:rPr>
      </w:pPr>
      <w:r>
        <w:rPr>
          <w:caps/>
        </w:rPr>
      </w:r>
    </w:p>
    <w:p>
      <w:pPr>
        <w:pStyle w:val="Normal"/>
        <w:numPr>
          <w:ilvl w:val="2"/>
          <w:numId w:val="1"/>
        </w:numPr>
        <w:jc w:val="both"/>
        <w:rPr/>
      </w:pPr>
      <w:r>
        <w:rPr>
          <w:i/>
        </w:rPr>
        <w:t>California</w:t>
      </w:r>
      <w:r>
        <w:rPr>
          <w:caps/>
        </w:rPr>
        <w:t>:  P</w:t>
      </w:r>
      <w:r>
        <w:rPr/>
        <w:t>rice caps protected smaller power consumers:  securitised stranded cost recovery scheme gave incumbent generators upfront windfalls.</w:t>
      </w:r>
    </w:p>
    <w:p>
      <w:pPr>
        <w:pStyle w:val="Normal"/>
        <w:ind w:start="1440" w:end="0"/>
        <w:jc w:val="both"/>
        <w:rPr/>
      </w:pPr>
      <w:r>
        <w:rPr/>
      </w:r>
    </w:p>
    <w:p>
      <w:pPr>
        <w:pStyle w:val="Normal"/>
        <w:numPr>
          <w:ilvl w:val="2"/>
          <w:numId w:val="1"/>
        </w:numPr>
        <w:jc w:val="both"/>
        <w:rPr/>
      </w:pPr>
      <w:r>
        <w:rPr>
          <w:i/>
        </w:rPr>
        <w:t>UK</w:t>
      </w:r>
      <w:r>
        <w:rPr/>
        <w:t>:  “Gas-fired power plant moratorium” (1997-9) was a blot on an otherwise non-discriminatory generation investment landscape; would have given false investment signals if continued.</w:t>
      </w:r>
    </w:p>
    <w:p>
      <w:pPr>
        <w:pStyle w:val="Normal"/>
        <w:jc w:val="both"/>
        <w:rPr/>
      </w:pPr>
      <w:r>
        <w:rPr/>
      </w:r>
    </w:p>
    <w:p>
      <w:pPr>
        <w:pStyle w:val="Normal"/>
        <w:numPr>
          <w:ilvl w:val="2"/>
          <w:numId w:val="1"/>
        </w:numPr>
        <w:jc w:val="both"/>
        <w:rPr/>
      </w:pPr>
      <w:r>
        <w:rPr>
          <w:i/>
        </w:rPr>
        <w:t>NL</w:t>
      </w:r>
      <w:r>
        <w:rPr/>
        <w:t>:  Regulatory agenda apparently confirmed to “outcome management.”  Rules for TPA and competitive environment were initially misleading; promises of thorough-going liberalisation not fulfilled; political agenda “hi-jacked” by incumbent generators and linked TSO.</w:t>
      </w:r>
    </w:p>
    <w:p>
      <w:pPr>
        <w:pStyle w:val="Normal"/>
        <w:jc w:val="both"/>
        <w:rPr/>
      </w:pPr>
      <w:r>
        <w:rPr/>
      </w:r>
    </w:p>
    <w:p>
      <w:pPr>
        <w:pStyle w:val="Normal"/>
        <w:numPr>
          <w:ilvl w:val="2"/>
          <w:numId w:val="1"/>
        </w:numPr>
        <w:jc w:val="both"/>
        <w:rPr/>
      </w:pPr>
      <w:r>
        <w:rPr>
          <w:i/>
        </w:rPr>
        <w:t>Spain</w:t>
      </w:r>
      <w:r>
        <w:rPr/>
        <w:t xml:space="preserve">:  CTCs scheme and permission of vertical integration, with alignment between shares of generation output and proportions of retail franchise, have marred competition; </w:t>
      </w:r>
      <w:r>
        <w:rPr>
          <w:u w:val="single"/>
        </w:rPr>
        <w:t>despite</w:t>
      </w:r>
      <w:r>
        <w:rPr/>
        <w:t xml:space="preserve"> otherwise positive interventions by regulator/ministry to ensure transparency of TPA and ward off threats of further sectoral consolidation.</w:t>
      </w:r>
    </w:p>
    <w:p>
      <w:pPr>
        <w:pStyle w:val="Normal"/>
        <w:jc w:val="both"/>
        <w:rPr/>
      </w:pPr>
      <w:r>
        <w:rPr/>
      </w:r>
    </w:p>
    <w:p>
      <w:pPr>
        <w:pStyle w:val="Normal"/>
        <w:numPr>
          <w:ilvl w:val="2"/>
          <w:numId w:val="1"/>
        </w:numPr>
        <w:jc w:val="both"/>
        <w:rPr/>
      </w:pPr>
      <w:r>
        <w:rPr>
          <w:i/>
        </w:rPr>
        <w:t>Italy</w:t>
      </w:r>
      <w:r>
        <w:rPr/>
        <w:t>:  Making the new Pool work remains a challenge; but the resolution to oblige ENEL to spin off a percentage of generating capacity and to expedite grid connections and permitting for new build generation is positive.</w:t>
      </w:r>
    </w:p>
    <w:p>
      <w:pPr>
        <w:pStyle w:val="Normal"/>
        <w:jc w:val="both"/>
        <w:rPr/>
      </w:pPr>
      <w:r>
        <w:rPr/>
      </w:r>
    </w:p>
    <w:p>
      <w:pPr>
        <w:pStyle w:val="Normal"/>
        <w:jc w:val="both"/>
        <w:rPr/>
      </w:pPr>
      <w:r>
        <w:rPr/>
      </w:r>
    </w:p>
    <w:p>
      <w:pPr>
        <w:pStyle w:val="Normal"/>
        <w:numPr>
          <w:ilvl w:val="0"/>
          <w:numId w:val="4"/>
        </w:numPr>
        <w:jc w:val="both"/>
        <w:rPr>
          <w:b/>
          <w:sz w:val="28"/>
        </w:rPr>
      </w:pPr>
      <w:r>
        <w:rPr>
          <w:b/>
          <w:sz w:val="28"/>
        </w:rPr>
        <w:t xml:space="preserve">SAFEGUARD EFFICIENT FUNCTIONING OF THE GAS MARKET: </w:t>
      </w:r>
    </w:p>
    <w:p>
      <w:pPr>
        <w:pStyle w:val="Normal"/>
        <w:ind w:start="720" w:end="0"/>
        <w:jc w:val="both"/>
        <w:rPr>
          <w:b/>
        </w:rPr>
      </w:pPr>
      <w:r>
        <w:rPr>
          <w:b/>
          <w:sz w:val="28"/>
        </w:rPr>
        <w:t>The market for gas as a fuel in power generation must be open to competition and enjoy transparency</w:t>
      </w:r>
    </w:p>
    <w:p>
      <w:pPr>
        <w:pStyle w:val="Normal"/>
        <w:ind w:start="360" w:end="0"/>
        <w:jc w:val="both"/>
        <w:rPr>
          <w:b/>
        </w:rPr>
      </w:pPr>
      <w:r>
        <w:rPr>
          <w:b/>
        </w:rPr>
      </w:r>
    </w:p>
    <w:p>
      <w:pPr>
        <w:pStyle w:val="Normal"/>
        <w:numPr>
          <w:ilvl w:val="2"/>
          <w:numId w:val="3"/>
        </w:numPr>
        <w:jc w:val="both"/>
        <w:rPr/>
      </w:pPr>
      <w:r>
        <w:rPr>
          <w:i/>
        </w:rPr>
        <w:t>California</w:t>
      </w:r>
      <w:r>
        <w:rPr/>
        <w:t>:  There are bottlenecks in the gas transportation network largely attributable to restrictions on siting new pipelines; consequential supply shortages in some locations are exacerbated by restrictions on exploitation of local reserves; gas price spikes coincided with power price spikes.</w:t>
      </w:r>
    </w:p>
    <w:p>
      <w:pPr>
        <w:pStyle w:val="Normal"/>
        <w:ind w:start="1440" w:end="0"/>
        <w:jc w:val="both"/>
        <w:rPr/>
      </w:pPr>
      <w:r>
        <w:rPr/>
      </w:r>
    </w:p>
    <w:p>
      <w:pPr>
        <w:pStyle w:val="Normal"/>
        <w:numPr>
          <w:ilvl w:val="2"/>
          <w:numId w:val="3"/>
        </w:numPr>
        <w:jc w:val="both"/>
        <w:rPr/>
      </w:pPr>
      <w:r>
        <w:rPr>
          <w:i/>
        </w:rPr>
        <w:t>Germany</w:t>
      </w:r>
      <w:r>
        <w:rPr/>
        <w:t>:  Insistence on a negotiated third party access regime, combined with fiscal penalties, is holding back the development of gas-fired generation.</w:t>
      </w:r>
    </w:p>
    <w:p>
      <w:pPr>
        <w:pStyle w:val="Normal"/>
        <w:jc w:val="both"/>
        <w:rPr/>
      </w:pPr>
      <w:r>
        <w:rPr/>
      </w:r>
    </w:p>
    <w:p>
      <w:pPr>
        <w:pStyle w:val="Normal"/>
        <w:numPr>
          <w:ilvl w:val="2"/>
          <w:numId w:val="3"/>
        </w:numPr>
        <w:jc w:val="both"/>
        <w:rPr/>
      </w:pPr>
      <w:r>
        <w:rPr>
          <w:i/>
        </w:rPr>
        <w:t>France</w:t>
      </w:r>
      <w:r>
        <w:rPr/>
        <w:t>:  Delay in implementing a third party access regime is preventing new entrants from considering investment in gas-fired generation.</w:t>
      </w:r>
    </w:p>
    <w:p>
      <w:pPr>
        <w:pStyle w:val="Normal"/>
        <w:jc w:val="both"/>
        <w:rPr/>
      </w:pPr>
      <w:r>
        <w:rPr/>
      </w:r>
    </w:p>
    <w:p>
      <w:pPr>
        <w:pStyle w:val="Normal"/>
        <w:numPr>
          <w:ilvl w:val="2"/>
          <w:numId w:val="3"/>
        </w:numPr>
        <w:jc w:val="both"/>
        <w:rPr/>
      </w:pPr>
      <w:r>
        <w:rPr>
          <w:i/>
        </w:rPr>
        <w:t>Spain</w:t>
      </w:r>
      <w:r>
        <w:rPr/>
        <w:t>:  Firm access to the gas transportation network required for new entrants’ gas-fired power projects is being jeopardised by delays to system reinforcement.</w:t>
      </w:r>
    </w:p>
    <w:p>
      <w:pPr>
        <w:pStyle w:val="Normal"/>
        <w:jc w:val="both"/>
        <w:rPr/>
      </w:pPr>
      <w:r>
        <w:rPr/>
      </w:r>
    </w:p>
    <w:p>
      <w:pPr>
        <w:pStyle w:val="Normal"/>
        <w:numPr>
          <w:ilvl w:val="2"/>
          <w:numId w:val="3"/>
        </w:numPr>
        <w:jc w:val="both"/>
        <w:rPr/>
      </w:pPr>
      <w:r>
        <w:rPr>
          <w:i/>
        </w:rPr>
        <w:t>All continental Europe</w:t>
      </w:r>
      <w:r>
        <w:rPr/>
        <w:t>:  The gas market remains distorted by the slow pace of liberalisation and producers’and downstream wholesale suppliers’ joint selling practices, non-resale contractual provisions, gas-to-oil price indexation, and inflexible take-or-pay regimes.</w:t>
      </w:r>
    </w:p>
    <w:p>
      <w:pPr>
        <w:pStyle w:val="Normal"/>
        <w:jc w:val="both"/>
        <w:rPr/>
      </w:pPr>
      <w:r>
        <w:rPr/>
      </w:r>
    </w:p>
    <w:p>
      <w:pPr>
        <w:pStyle w:val="Normal"/>
        <w:jc w:val="both"/>
        <w:rPr/>
      </w:pPr>
      <w:r>
        <w:rPr/>
      </w:r>
    </w:p>
    <w:p>
      <w:pPr>
        <w:pStyle w:val="Normal"/>
        <w:jc w:val="both"/>
        <w:rPr/>
      </w:pPr>
      <w:r>
        <w:rPr/>
      </w:r>
    </w:p>
    <w:p>
      <w:pPr>
        <w:pStyle w:val="Normal"/>
        <w:ind w:start="720" w:end="0"/>
        <w:jc w:val="both"/>
        <w:rPr/>
      </w:pPr>
      <w:r>
        <w:rPr/>
      </w:r>
    </w:p>
    <w:p>
      <w:pPr>
        <w:pStyle w:val="Normal"/>
        <w:ind w:start="1080" w:end="0"/>
        <w:jc w:val="end"/>
        <w:rPr/>
      </w:pPr>
      <w:r>
        <w:rPr/>
      </w:r>
    </w:p>
    <w:p>
      <w:pPr>
        <w:pStyle w:val="Normal"/>
        <w:ind w:start="1080" w:end="0"/>
        <w:jc w:val="end"/>
        <w:rPr/>
      </w:pPr>
      <w:r>
        <w:rPr/>
        <w:t>Peter Richard Styles</w:t>
      </w:r>
    </w:p>
    <w:p>
      <w:pPr>
        <w:pStyle w:val="Normal"/>
        <w:ind w:start="1080" w:end="0"/>
        <w:jc w:val="end"/>
        <w:rPr/>
      </w:pPr>
      <w:r>
        <w:rPr/>
        <w:t>Enron European Government Affairs</w:t>
      </w:r>
    </w:p>
    <w:p>
      <w:pPr>
        <w:pStyle w:val="Normal"/>
        <w:ind w:start="1080" w:end="0"/>
        <w:jc w:val="end"/>
        <w:rPr/>
      </w:pPr>
      <w:r>
        <w:rPr/>
        <w:t>22/06/2001</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t>June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690"/>
        </w:tabs>
        <w:ind w:start="690" w:hanging="690"/>
      </w:pPr>
      <w:rPr/>
    </w:lvl>
    <w:lvl w:ilvl="1">
      <w:start w:val="1"/>
      <w:numFmt w:val="decimal"/>
      <w:lvlText w:val="%1.%2"/>
      <w:lvlJc w:val="start"/>
      <w:pPr>
        <w:tabs>
          <w:tab w:val="num" w:pos="1410"/>
        </w:tabs>
        <w:ind w:start="1410" w:hanging="69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
    <w:lvl w:ilvl="0">
      <w:start w:val="1"/>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jc w:val="both"/>
    </w:pPr>
    <w:rPr>
      <w:b/>
      <w:bCs/>
      <w:sz w:val="28"/>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2001-06-25T11:52:00Z</dcterms:created>
  <dc:creator>pmilano</dc:creator>
  <dc:description/>
  <dc:language>en-CA</dc:language>
  <cp:lastModifiedBy>ndindaro</cp:lastModifiedBy>
  <cp:lastPrinted>2001-06-19T10:45:00Z</cp:lastPrinted>
  <dcterms:modified xsi:type="dcterms:W3CDTF">2001-06-25T11:52:00Z</dcterms:modified>
  <cp:revision>2</cp:revision>
  <dc:subject/>
  <dc:title>CALIFORNIA BAD DREAMING: WARNINGS FOR EUROPE</dc:title>
</cp:coreProperties>
</file>