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California Update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Recoupment of Net Bill</w:t>
      </w:r>
    </w:p>
    <w:p>
      <w:pPr>
        <w:pStyle w:val="Normal"/>
        <w:rPr/>
      </w:pPr>
      <w:r>
        <w:rPr/>
      </w:r>
    </w:p>
    <w:p>
      <w:pPr>
        <w:pStyle w:val="Normal"/>
        <w:numPr>
          <w:ilvl w:val="1"/>
          <w:numId w:val="1"/>
        </w:numPr>
        <w:rPr/>
      </w:pPr>
      <w:r>
        <w:rPr/>
        <w:t>Protect EES’ right</w:t>
      </w:r>
    </w:p>
    <w:p>
      <w:pPr>
        <w:pStyle w:val="Normal"/>
        <w:numPr>
          <w:ilvl w:val="1"/>
          <w:numId w:val="1"/>
        </w:numPr>
        <w:rPr/>
      </w:pPr>
      <w:r>
        <w:rPr/>
        <w:t>Minimize $ out the door – Apply to going forward</w:t>
      </w:r>
    </w:p>
    <w:p>
      <w:pPr>
        <w:pStyle w:val="Normal"/>
        <w:numPr>
          <w:ilvl w:val="1"/>
          <w:numId w:val="1"/>
        </w:numPr>
        <w:rPr/>
      </w:pPr>
      <w:r>
        <w:rPr/>
        <w:t>Initiated billing dispute process (8/20/01)</w:t>
      </w:r>
    </w:p>
    <w:p>
      <w:pPr>
        <w:pStyle w:val="Normal"/>
        <w:numPr>
          <w:ilvl w:val="1"/>
          <w:numId w:val="1"/>
        </w:numPr>
        <w:rPr/>
      </w:pPr>
      <w:r>
        <w:rPr/>
        <w:t>Next Steps / Issues</w:t>
      </w:r>
    </w:p>
    <w:p>
      <w:pPr>
        <w:pStyle w:val="Normal"/>
        <w:numPr>
          <w:ilvl w:val="2"/>
          <w:numId w:val="1"/>
        </w:numPr>
        <w:rPr/>
      </w:pPr>
      <w:r>
        <w:rPr/>
        <w:t>Deposit $ at CPUC</w:t>
      </w:r>
    </w:p>
    <w:p>
      <w:pPr>
        <w:pStyle w:val="Normal"/>
        <w:numPr>
          <w:ilvl w:val="2"/>
          <w:numId w:val="1"/>
        </w:numPr>
        <w:rPr/>
      </w:pPr>
      <w:r>
        <w:rPr/>
        <w:t>File CPUC Complaint</w:t>
      </w:r>
    </w:p>
    <w:p>
      <w:pPr>
        <w:pStyle w:val="Normal"/>
        <w:numPr>
          <w:ilvl w:val="2"/>
          <w:numId w:val="1"/>
        </w:numPr>
        <w:rPr/>
      </w:pPr>
      <w:r>
        <w:rPr/>
        <w:t>File to Lift Stay at PG&amp;E Bankruptcy Court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1c/kwh Surcharge</w:t>
      </w:r>
    </w:p>
    <w:p>
      <w:pPr>
        <w:pStyle w:val="Normal"/>
        <w:rPr/>
      </w:pPr>
      <w:r>
        <w:rPr/>
      </w:r>
    </w:p>
    <w:p>
      <w:pPr>
        <w:pStyle w:val="Normal"/>
        <w:numPr>
          <w:ilvl w:val="1"/>
          <w:numId w:val="1"/>
        </w:numPr>
        <w:rPr/>
      </w:pPr>
      <w:r>
        <w:rPr/>
        <w:t>CPUC Order applies to all customers</w:t>
      </w:r>
    </w:p>
    <w:p>
      <w:pPr>
        <w:pStyle w:val="Normal"/>
        <w:numPr>
          <w:ilvl w:val="2"/>
          <w:numId w:val="1"/>
        </w:numPr>
        <w:rPr/>
      </w:pPr>
      <w:r>
        <w:rPr/>
        <w:t xml:space="preserve">PG&amp;E applying to all customers </w:t>
      </w:r>
    </w:p>
    <w:p>
      <w:pPr>
        <w:pStyle w:val="Normal"/>
        <w:numPr>
          <w:ilvl w:val="2"/>
          <w:numId w:val="1"/>
        </w:numPr>
        <w:rPr/>
      </w:pPr>
      <w:r>
        <w:rPr/>
        <w:t>SCE not applying to DA</w:t>
      </w:r>
    </w:p>
    <w:p>
      <w:pPr>
        <w:pStyle w:val="Normal"/>
        <w:numPr>
          <w:ilvl w:val="1"/>
          <w:numId w:val="1"/>
        </w:numPr>
        <w:rPr/>
      </w:pPr>
      <w:r>
        <w:rPr/>
        <w:t>CPUC Strategy (working through AReM)</w:t>
      </w:r>
    </w:p>
    <w:p>
      <w:pPr>
        <w:pStyle w:val="Normal"/>
        <w:numPr>
          <w:ilvl w:val="1"/>
          <w:numId w:val="1"/>
        </w:numPr>
        <w:rPr/>
      </w:pPr>
      <w:r>
        <w:rPr/>
        <w:t xml:space="preserve">Should EES bill 1 c/kwh Surcharge to DA customers? Starting when? Customer issues?  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PX Credit Issues</w:t>
      </w:r>
    </w:p>
    <w:p>
      <w:pPr>
        <w:pStyle w:val="Normal"/>
        <w:rPr/>
      </w:pPr>
      <w:r>
        <w:rPr/>
      </w:r>
    </w:p>
    <w:p>
      <w:pPr>
        <w:pStyle w:val="Normal"/>
        <w:numPr>
          <w:ilvl w:val="1"/>
          <w:numId w:val="1"/>
        </w:numPr>
        <w:rPr/>
      </w:pPr>
      <w:r>
        <w:rPr/>
        <w:t>CPUC has not yet ruled</w:t>
      </w:r>
    </w:p>
    <w:p>
      <w:pPr>
        <w:pStyle w:val="Normal"/>
        <w:numPr>
          <w:ilvl w:val="1"/>
          <w:numId w:val="1"/>
        </w:numPr>
        <w:rPr/>
      </w:pPr>
      <w:r>
        <w:rPr/>
        <w:t>Utilities calculating PX Credit differently</w:t>
      </w:r>
    </w:p>
    <w:p>
      <w:pPr>
        <w:pStyle w:val="Normal"/>
        <w:numPr>
          <w:ilvl w:val="2"/>
          <w:numId w:val="1"/>
        </w:numPr>
        <w:rPr/>
      </w:pPr>
      <w:r>
        <w:rPr/>
        <w:t xml:space="preserve">SCE currently setting PX Credit = Generation cost </w:t>
      </w:r>
      <w:r>
        <w:rPr>
          <w:rFonts w:eastAsia="Symbol" w:cs="Symbol" w:ascii="Symbol" w:hAnsi="Symbol"/>
          <w:b/>
          <w:bCs/>
        </w:rPr>
        <w:sym w:font="Symbol" w:char="f0de"/>
      </w:r>
      <w:r>
        <w:rPr/>
        <w:t xml:space="preserve"> CTC = 0 c/kwh</w:t>
      </w:r>
    </w:p>
    <w:p>
      <w:pPr>
        <w:pStyle w:val="Normal"/>
        <w:numPr>
          <w:ilvl w:val="2"/>
          <w:numId w:val="1"/>
        </w:numPr>
        <w:rPr/>
      </w:pPr>
      <w:r>
        <w:rPr/>
        <w:t>PG&amp;E applying rate adjustment</w:t>
      </w:r>
    </w:p>
    <w:p>
      <w:pPr>
        <w:pStyle w:val="Normal"/>
        <w:numPr>
          <w:ilvl w:val="1"/>
          <w:numId w:val="1"/>
        </w:numPr>
        <w:rPr/>
      </w:pPr>
      <w:r>
        <w:rPr/>
        <w:t>Potential for Positive CTC negative to EWS book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720"/>
      </w:pPr>
      <w:rPr/>
    </w:lvl>
    <w:lvl w:ilvl="1">
      <w:start w:val="1"/>
      <w:numFmt w:val="lowerLetter"/>
      <w:lvlText w:val="%2."/>
      <w:lvlJc w:val="start"/>
      <w:pPr>
        <w:tabs>
          <w:tab w:val="num" w:pos="1440"/>
        </w:tabs>
        <w:ind w:start="1440" w:hanging="720"/>
      </w:pPr>
      <w:rPr/>
    </w:lvl>
    <w:lvl w:ilvl="2">
      <w:start w:val="1"/>
      <w:numFmt w:val="lowerRoman"/>
      <w:lvlText w:val="%3."/>
      <w:lvlJc w:val="end"/>
      <w:pPr>
        <w:tabs>
          <w:tab w:val="num" w:pos="1800"/>
        </w:tabs>
        <w:ind w:start="1800" w:hanging="180"/>
      </w:pPr>
    </w:lvl>
    <w:lvl w:ilvl="3">
      <w:start w:val="1"/>
      <w:numFmt w:val="decimal"/>
      <w:lvlText w:val="%4."/>
      <w:lvlJc w:val="start"/>
      <w:pPr>
        <w:tabs>
          <w:tab w:val="num" w:pos="2520"/>
        </w:tabs>
        <w:ind w:start="2520" w:hanging="360"/>
      </w:pPr>
    </w:lvl>
    <w:lvl w:ilvl="4">
      <w:start w:val="1"/>
      <w:numFmt w:val="lowerLetter"/>
      <w:lvlText w:val="%5."/>
      <w:lvlJc w:val="start"/>
      <w:pPr>
        <w:tabs>
          <w:tab w:val="num" w:pos="3240"/>
        </w:tabs>
        <w:ind w:start="3240" w:hanging="360"/>
      </w:pPr>
    </w:lvl>
    <w:lvl w:ilvl="5">
      <w:start w:val="1"/>
      <w:numFmt w:val="lowerRoman"/>
      <w:lvlText w:val="%6."/>
      <w:lvlJc w:val="end"/>
      <w:pPr>
        <w:tabs>
          <w:tab w:val="num" w:pos="3960"/>
        </w:tabs>
        <w:ind w:start="3960" w:hanging="180"/>
      </w:pPr>
    </w:lvl>
    <w:lvl w:ilvl="6">
      <w:start w:val="1"/>
      <w:numFmt w:val="decimal"/>
      <w:lvlText w:val="%7."/>
      <w:lvlJc w:val="start"/>
      <w:pPr>
        <w:tabs>
          <w:tab w:val="num" w:pos="4680"/>
        </w:tabs>
        <w:ind w:start="4680" w:hanging="360"/>
      </w:pPr>
    </w:lvl>
    <w:lvl w:ilvl="7">
      <w:start w:val="1"/>
      <w:numFmt w:val="lowerLetter"/>
      <w:lvlText w:val="%8."/>
      <w:lvlJc w:val="start"/>
      <w:pPr>
        <w:tabs>
          <w:tab w:val="num" w:pos="5400"/>
        </w:tabs>
        <w:ind w:start="5400" w:hanging="360"/>
      </w:pPr>
    </w:lvl>
    <w:lvl w:ilvl="8">
      <w:start w:val="1"/>
      <w:numFmt w:val="lowerRoman"/>
      <w:lvlText w:val="%9."/>
      <w:lvlJc w:val="end"/>
      <w:pPr>
        <w:tabs>
          <w:tab w:val="num" w:pos="6120"/>
        </w:tabs>
        <w:ind w:start="6120" w:hanging="18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2001-08-21T20:50:00Z</dcterms:created>
  <dc:creator>jsteffe</dc:creator>
  <dc:description/>
  <dc:language>en-CA</dc:language>
  <cp:lastModifiedBy>jsteffe</cp:lastModifiedBy>
  <dcterms:modified xsi:type="dcterms:W3CDTF">2001-08-21T21:05:00Z</dcterms:modified>
  <cp:revision>2</cp:revision>
  <dc:subject/>
  <dc:title>California Update</dc:title>
</cp:coreProperties>
</file>