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Update—08.03.01</w:t>
      </w:r>
    </w:p>
    <w:p>
      <w:pPr>
        <w:pStyle w:val="Normal"/>
        <w:jc w:val="center"/>
        <w:rPr>
          <w:sz w:val="20"/>
        </w:rPr>
      </w:pPr>
      <w:r>
        <w:rPr>
          <w:sz w:val="20"/>
        </w:rPr>
      </w:r>
    </w:p>
    <w:p>
      <w:pPr>
        <w:pStyle w:val="Subtitle"/>
        <w:rPr>
          <w:u w:val="single"/>
        </w:rPr>
      </w:pPr>
      <w:r>
        <w:rPr>
          <w:u w:val="single"/>
        </w:rPr>
        <w:t>The Legislature</w:t>
      </w:r>
    </w:p>
    <w:p>
      <w:pPr>
        <w:pStyle w:val="Subtitle"/>
        <w:rPr>
          <w:i w:val="false"/>
          <w:i w:val="false"/>
          <w:iCs w:val="false"/>
        </w:rPr>
      </w:pPr>
      <w:r>
        <w:rPr>
          <w:i w:val="false"/>
          <w:iCs w:val="false"/>
        </w:rPr>
        <w:t>The MOU Designed to Return Edison to Solvency</w:t>
      </w:r>
    </w:p>
    <w:p>
      <w:pPr>
        <w:pStyle w:val="Normal"/>
        <w:numPr>
          <w:ilvl w:val="0"/>
          <w:numId w:val="6"/>
        </w:numPr>
        <w:tabs>
          <w:tab w:val="clear" w:pos="720"/>
        </w:tabs>
        <w:ind w:hanging="360" w:start="360" w:end="0"/>
        <w:rPr>
          <w:sz w:val="20"/>
        </w:rPr>
      </w:pPr>
      <w:r>
        <w:rPr>
          <w:sz w:val="20"/>
        </w:rPr>
        <w:t>After months of wrangling, the Legislature adjourned on July 27</w:t>
      </w:r>
      <w:r>
        <w:rPr>
          <w:sz w:val="20"/>
          <w:vertAlign w:val="superscript"/>
        </w:rPr>
        <w:t>th</w:t>
      </w:r>
      <w:r>
        <w:rPr>
          <w:sz w:val="20"/>
        </w:rPr>
        <w:t xml:space="preserve"> without agreeing on a bill to keep Edison designed to keep Edison out of bankruptcy.</w:t>
      </w:r>
    </w:p>
    <w:p>
      <w:pPr>
        <w:pStyle w:val="Normal"/>
        <w:numPr>
          <w:ilvl w:val="0"/>
          <w:numId w:val="6"/>
        </w:numPr>
        <w:tabs>
          <w:tab w:val="clear" w:pos="720"/>
        </w:tabs>
        <w:ind w:hanging="360" w:start="360" w:end="0"/>
        <w:rPr>
          <w:sz w:val="20"/>
        </w:rPr>
      </w:pPr>
      <w:r>
        <w:rPr>
          <w:sz w:val="20"/>
        </w:rPr>
        <w:t>The Legislature is scheduled to return on August 20</w:t>
      </w:r>
      <w:r>
        <w:rPr>
          <w:sz w:val="20"/>
          <w:vertAlign w:val="superscript"/>
        </w:rPr>
        <w:t>th</w:t>
      </w:r>
      <w:r>
        <w:rPr>
          <w:sz w:val="20"/>
        </w:rPr>
        <w:t>.</w:t>
      </w:r>
    </w:p>
    <w:p>
      <w:pPr>
        <w:pStyle w:val="Normal"/>
        <w:numPr>
          <w:ilvl w:val="0"/>
          <w:numId w:val="6"/>
        </w:numPr>
        <w:tabs>
          <w:tab w:val="clear" w:pos="720"/>
        </w:tabs>
        <w:ind w:hanging="360" w:start="360" w:end="0"/>
        <w:rPr>
          <w:sz w:val="20"/>
        </w:rPr>
      </w:pPr>
      <w:r>
        <w:rPr>
          <w:sz w:val="20"/>
        </w:rPr>
        <w:t>Several factors kept the Legislature from acting:</w:t>
      </w:r>
    </w:p>
    <w:p>
      <w:pPr>
        <w:pStyle w:val="Normal"/>
        <w:numPr>
          <w:ilvl w:val="0"/>
          <w:numId w:val="4"/>
        </w:numPr>
        <w:tabs>
          <w:tab w:val="clear" w:pos="720"/>
        </w:tabs>
        <w:ind w:hanging="360" w:start="720" w:end="0"/>
        <w:rPr>
          <w:sz w:val="20"/>
        </w:rPr>
      </w:pPr>
      <w:r>
        <w:rPr>
          <w:sz w:val="20"/>
        </w:rPr>
        <w:t xml:space="preserve">A growing number of opinion leaders and legislators believe that Edison is responsible for the restructuring law passed in 1996 (AB 1890), and should therefore live with the results rather than seek legislative assistance; </w:t>
      </w:r>
    </w:p>
    <w:p>
      <w:pPr>
        <w:pStyle w:val="Normal"/>
        <w:numPr>
          <w:ilvl w:val="0"/>
          <w:numId w:val="4"/>
        </w:numPr>
        <w:tabs>
          <w:tab w:val="clear" w:pos="720"/>
        </w:tabs>
        <w:ind w:hanging="360" w:start="720" w:end="0"/>
        <w:rPr>
          <w:sz w:val="20"/>
        </w:rPr>
      </w:pPr>
      <w:r>
        <w:rPr>
          <w:sz w:val="20"/>
        </w:rPr>
        <w:t xml:space="preserve">Intense political pressure from the Left and consumer groups to resist allowing any rate revenues to be used to pay off Edison’s pass debts, claiming that doing so amounts to a “government bailout”; </w:t>
      </w:r>
    </w:p>
    <w:p>
      <w:pPr>
        <w:pStyle w:val="Normal"/>
        <w:numPr>
          <w:ilvl w:val="0"/>
          <w:numId w:val="4"/>
        </w:numPr>
        <w:tabs>
          <w:tab w:val="clear" w:pos="720"/>
        </w:tabs>
        <w:ind w:hanging="360" w:start="720" w:end="0"/>
        <w:rPr>
          <w:sz w:val="20"/>
        </w:rPr>
      </w:pPr>
      <w:r>
        <w:rPr>
          <w:sz w:val="20"/>
        </w:rPr>
        <w:t xml:space="preserve">A severe split among Democrats in the Left-leaning Senate and more Centrist Assembly on the key components of a framework to resolve California’s energy crisis; </w:t>
      </w:r>
    </w:p>
    <w:p>
      <w:pPr>
        <w:pStyle w:val="Normal"/>
        <w:numPr>
          <w:ilvl w:val="0"/>
          <w:numId w:val="4"/>
        </w:numPr>
        <w:tabs>
          <w:tab w:val="clear" w:pos="720"/>
        </w:tabs>
        <w:ind w:hanging="360" w:start="720" w:end="0"/>
        <w:rPr>
          <w:sz w:val="20"/>
        </w:rPr>
      </w:pPr>
      <w:r>
        <w:rPr>
          <w:sz w:val="20"/>
        </w:rPr>
        <w:t>A split within the Democrats in the Assembly itself on what the framework should look like; and,</w:t>
      </w:r>
    </w:p>
    <w:p>
      <w:pPr>
        <w:pStyle w:val="Normal"/>
        <w:numPr>
          <w:ilvl w:val="0"/>
          <w:numId w:val="4"/>
        </w:numPr>
        <w:tabs>
          <w:tab w:val="clear" w:pos="720"/>
        </w:tabs>
        <w:ind w:hanging="360" w:start="720" w:end="0"/>
        <w:rPr>
          <w:sz w:val="20"/>
        </w:rPr>
      </w:pPr>
      <w:r>
        <w:rPr>
          <w:sz w:val="20"/>
        </w:rPr>
        <w:t xml:space="preserve">Growing frustration with Governor Davis on the part of Democrats in both houses.  </w:t>
      </w:r>
    </w:p>
    <w:p>
      <w:pPr>
        <w:pStyle w:val="Normal"/>
        <w:numPr>
          <w:ilvl w:val="0"/>
          <w:numId w:val="6"/>
        </w:numPr>
        <w:tabs>
          <w:tab w:val="clear" w:pos="720"/>
        </w:tabs>
        <w:ind w:hanging="360" w:start="360" w:end="0"/>
        <w:rPr>
          <w:sz w:val="20"/>
        </w:rPr>
      </w:pPr>
      <w:r>
        <w:rPr>
          <w:sz w:val="20"/>
        </w:rPr>
        <w:t>Under the direction of the Assembly Speaker (Hertzberg), a diverse set of interests (including Enron) spent most of June and July negotiating a “core/noncore” market structure similar to the successful market structure in place in California’s gas industry.</w:t>
      </w:r>
    </w:p>
    <w:p>
      <w:pPr>
        <w:pStyle w:val="Normal"/>
        <w:numPr>
          <w:ilvl w:val="0"/>
          <w:numId w:val="6"/>
        </w:numPr>
        <w:tabs>
          <w:tab w:val="clear" w:pos="720"/>
        </w:tabs>
        <w:ind w:hanging="360" w:start="360" w:end="0"/>
        <w:rPr>
          <w:sz w:val="20"/>
        </w:rPr>
      </w:pPr>
      <w:r>
        <w:rPr>
          <w:sz w:val="20"/>
        </w:rPr>
        <w:t>The core/noncore solution stalled when Democratic leaders from the Assembly and Senate could not agree to a deal.</w:t>
      </w:r>
    </w:p>
    <w:p>
      <w:pPr>
        <w:pStyle w:val="Normal"/>
        <w:numPr>
          <w:ilvl w:val="0"/>
          <w:numId w:val="6"/>
        </w:numPr>
        <w:tabs>
          <w:tab w:val="clear" w:pos="720"/>
        </w:tabs>
        <w:ind w:hanging="360" w:start="360" w:end="0"/>
        <w:rPr>
          <w:sz w:val="20"/>
        </w:rPr>
      </w:pPr>
      <w:r>
        <w:rPr>
          <w:sz w:val="20"/>
        </w:rPr>
        <w:t>Enron continues to support and advocate the core/noncore model, though the business community is somewhat split in their support.  Some prefer the Direct Access model (where customers can choose to remain with the utility or go to market).   In the core/noncore structure, large customers would no longer have the option of taking commodity service from the utility (as is the case in California’s gas market) and would have to take service directly from the market instead.</w:t>
      </w:r>
    </w:p>
    <w:p>
      <w:pPr>
        <w:pStyle w:val="Normal"/>
        <w:numPr>
          <w:ilvl w:val="0"/>
          <w:numId w:val="6"/>
        </w:numPr>
        <w:tabs>
          <w:tab w:val="clear" w:pos="720"/>
        </w:tabs>
        <w:ind w:hanging="360" w:start="360" w:end="0"/>
        <w:rPr>
          <w:sz w:val="20"/>
        </w:rPr>
      </w:pPr>
      <w:r>
        <w:rPr>
          <w:sz w:val="20"/>
        </w:rPr>
        <w:t>The Senate passed two bills before adjourning:</w:t>
      </w:r>
    </w:p>
    <w:p>
      <w:pPr>
        <w:pStyle w:val="Normal"/>
        <w:numPr>
          <w:ilvl w:val="1"/>
          <w:numId w:val="3"/>
        </w:numPr>
        <w:tabs>
          <w:tab w:val="clear" w:pos="720"/>
        </w:tabs>
        <w:ind w:hanging="360" w:start="720" w:end="0"/>
        <w:rPr>
          <w:sz w:val="20"/>
        </w:rPr>
      </w:pPr>
      <w:r>
        <w:rPr>
          <w:b/>
          <w:bCs/>
          <w:i/>
          <w:iCs/>
          <w:sz w:val="20"/>
        </w:rPr>
        <w:t>Senate Bill 78</w:t>
      </w:r>
      <w:r>
        <w:rPr>
          <w:sz w:val="20"/>
        </w:rPr>
        <w:t xml:space="preserve"> </w:t>
      </w:r>
    </w:p>
    <w:p>
      <w:pPr>
        <w:pStyle w:val="Normal"/>
        <w:numPr>
          <w:ilvl w:val="1"/>
          <w:numId w:val="7"/>
        </w:numPr>
        <w:tabs>
          <w:tab w:val="clear" w:pos="720"/>
        </w:tabs>
        <w:ind w:hanging="360" w:start="1080" w:end="0"/>
        <w:rPr>
          <w:sz w:val="20"/>
        </w:rPr>
      </w:pPr>
      <w:r>
        <w:rPr>
          <w:sz w:val="20"/>
        </w:rPr>
        <w:t>The bill would allow Edison to recover through rates the money it owes to the banks and to the QFs.  But it would leave to Edison’s shareholders responsibility for paying (or negotiating) about $1 billion owed to other power suppliers (including Enron).</w:t>
      </w:r>
    </w:p>
    <w:p>
      <w:pPr>
        <w:pStyle w:val="Normal"/>
        <w:numPr>
          <w:ilvl w:val="1"/>
          <w:numId w:val="7"/>
        </w:numPr>
        <w:tabs>
          <w:tab w:val="clear" w:pos="720"/>
        </w:tabs>
        <w:ind w:hanging="360" w:start="1080" w:end="0"/>
        <w:rPr>
          <w:sz w:val="20"/>
        </w:rPr>
      </w:pPr>
      <w:r>
        <w:rPr>
          <w:sz w:val="20"/>
        </w:rPr>
        <w:t>The bill would force all 500 KW-and-above customers (i.e., large business customers) to pay through rates Edison’s debts to the banks and QFs.  The business community is staunchly opposed to this provision.</w:t>
      </w:r>
    </w:p>
    <w:p>
      <w:pPr>
        <w:pStyle w:val="Normal"/>
        <w:numPr>
          <w:ilvl w:val="1"/>
          <w:numId w:val="7"/>
        </w:numPr>
        <w:tabs>
          <w:tab w:val="clear" w:pos="720"/>
        </w:tabs>
        <w:ind w:hanging="360" w:start="1080" w:end="0"/>
        <w:rPr>
          <w:sz w:val="20"/>
        </w:rPr>
      </w:pPr>
      <w:r>
        <w:rPr>
          <w:sz w:val="20"/>
        </w:rPr>
        <w:t>The bill would give the State the option to buy Edison’s transmission system at book value.</w:t>
      </w:r>
    </w:p>
    <w:p>
      <w:pPr>
        <w:pStyle w:val="Normal"/>
        <w:numPr>
          <w:ilvl w:val="1"/>
          <w:numId w:val="7"/>
        </w:numPr>
        <w:tabs>
          <w:tab w:val="clear" w:pos="720"/>
        </w:tabs>
        <w:ind w:hanging="360" w:start="1080" w:end="0"/>
        <w:rPr>
          <w:sz w:val="20"/>
        </w:rPr>
      </w:pPr>
      <w:r>
        <w:rPr>
          <w:sz w:val="20"/>
        </w:rPr>
        <w:t>The bill is silent on Direct Access, which means that the provisions passed in AB1X directing the California PUC to suspend Direct Access would remain in place.  (AB1X authorized DWR to take over procurement from the utilities.  It also authorized the State to issue bonds to pay back the General Fund for power purchased by DWR.  The State’s been using the General Fund as a bridge to finance power purchases pending issuance of the bonds.)</w:t>
      </w:r>
    </w:p>
    <w:p>
      <w:pPr>
        <w:pStyle w:val="Normal"/>
        <w:numPr>
          <w:ilvl w:val="1"/>
          <w:numId w:val="7"/>
        </w:numPr>
        <w:tabs>
          <w:tab w:val="clear" w:pos="720"/>
        </w:tabs>
        <w:ind w:hanging="360" w:start="1080" w:end="0"/>
        <w:rPr>
          <w:sz w:val="20"/>
        </w:rPr>
      </w:pPr>
      <w:r>
        <w:rPr>
          <w:sz w:val="20"/>
        </w:rPr>
        <w:t>Large business customers strongly oppose the bill; small customers support it.</w:t>
      </w:r>
    </w:p>
    <w:p>
      <w:pPr>
        <w:pStyle w:val="Normal"/>
        <w:numPr>
          <w:ilvl w:val="1"/>
          <w:numId w:val="7"/>
        </w:numPr>
        <w:tabs>
          <w:tab w:val="clear" w:pos="720"/>
        </w:tabs>
        <w:ind w:hanging="360" w:start="1080" w:end="0"/>
        <w:rPr>
          <w:sz w:val="20"/>
        </w:rPr>
      </w:pPr>
      <w:r>
        <w:rPr>
          <w:sz w:val="20"/>
        </w:rPr>
        <w:t>Edison publicly opposes the bill—arguing that the bill will not make the company solvent—but appeared to help get it passed in the Senate.</w:t>
      </w:r>
    </w:p>
    <w:p>
      <w:pPr>
        <w:pStyle w:val="Normal"/>
        <w:numPr>
          <w:ilvl w:val="1"/>
          <w:numId w:val="3"/>
        </w:numPr>
        <w:tabs>
          <w:tab w:val="clear" w:pos="720"/>
        </w:tabs>
        <w:ind w:hanging="360" w:start="720" w:end="0"/>
        <w:rPr>
          <w:b/>
          <w:bCs/>
          <w:i/>
          <w:i/>
          <w:iCs/>
          <w:sz w:val="20"/>
        </w:rPr>
      </w:pPr>
      <w:r>
        <w:rPr>
          <w:b/>
          <w:bCs/>
          <w:i/>
          <w:iCs/>
          <w:sz w:val="20"/>
        </w:rPr>
        <w:t>Senate Bill 18</w:t>
      </w:r>
      <w:r>
        <w:rPr>
          <w:sz w:val="20"/>
        </w:rPr>
        <w:t xml:space="preserve"> </w:t>
      </w:r>
    </w:p>
    <w:p>
      <w:pPr>
        <w:pStyle w:val="Normal"/>
        <w:numPr>
          <w:ilvl w:val="1"/>
          <w:numId w:val="5"/>
        </w:numPr>
        <w:tabs>
          <w:tab w:val="clear" w:pos="720"/>
        </w:tabs>
        <w:ind w:hanging="360" w:start="1080" w:end="0"/>
        <w:rPr>
          <w:b/>
          <w:bCs/>
          <w:i/>
          <w:i/>
          <w:iCs/>
          <w:sz w:val="20"/>
        </w:rPr>
      </w:pPr>
      <w:r>
        <w:rPr>
          <w:sz w:val="20"/>
        </w:rPr>
        <w:t>The bill would create a single, fixed (or “dedicated”) rate component to finance the bonds that the State will issue to repay the General Fund for power purchased by DWR since January.</w:t>
      </w:r>
    </w:p>
    <w:p>
      <w:pPr>
        <w:pStyle w:val="Normal"/>
        <w:numPr>
          <w:ilvl w:val="1"/>
          <w:numId w:val="5"/>
        </w:numPr>
        <w:tabs>
          <w:tab w:val="clear" w:pos="720"/>
        </w:tabs>
        <w:ind w:hanging="360" w:start="1080" w:end="0"/>
        <w:rPr>
          <w:b/>
          <w:bCs/>
          <w:i/>
          <w:i/>
          <w:iCs/>
          <w:sz w:val="20"/>
        </w:rPr>
      </w:pPr>
      <w:r>
        <w:rPr>
          <w:sz w:val="20"/>
        </w:rPr>
        <w:t>The bill would not create a comparable dedicated rate component to pay for the long-term contracts that DWR has signed or will sign.</w:t>
      </w:r>
    </w:p>
    <w:p>
      <w:pPr>
        <w:pStyle w:val="Normal"/>
        <w:numPr>
          <w:ilvl w:val="1"/>
          <w:numId w:val="5"/>
        </w:numPr>
        <w:tabs>
          <w:tab w:val="clear" w:pos="720"/>
        </w:tabs>
        <w:ind w:hanging="360" w:start="1080" w:end="0"/>
        <w:rPr>
          <w:b/>
          <w:bCs/>
          <w:i/>
          <w:i/>
          <w:iCs/>
          <w:sz w:val="20"/>
        </w:rPr>
      </w:pPr>
      <w:r>
        <w:rPr>
          <w:sz w:val="20"/>
        </w:rPr>
        <w:t>The bill was sponsored by the Democratic Senate leader John Burton and passed the Senate with broad support from Republicans.</w:t>
      </w:r>
    </w:p>
    <w:p>
      <w:pPr>
        <w:pStyle w:val="Normal"/>
        <w:numPr>
          <w:ilvl w:val="1"/>
          <w:numId w:val="5"/>
        </w:numPr>
        <w:tabs>
          <w:tab w:val="clear" w:pos="720"/>
        </w:tabs>
        <w:ind w:hanging="360" w:start="1080" w:end="0"/>
        <w:rPr>
          <w:b/>
          <w:bCs/>
          <w:i/>
          <w:i/>
          <w:iCs/>
          <w:sz w:val="20"/>
        </w:rPr>
      </w:pPr>
      <w:r>
        <w:rPr>
          <w:sz w:val="20"/>
        </w:rPr>
        <w:t>The bill came in response to growing concerns over the $43-46 billion of long-term contracts signed by DWR and the belief that the lion’s share of the contracts are uneconomic (i.e., above market).</w:t>
      </w:r>
    </w:p>
    <w:p>
      <w:pPr>
        <w:pStyle w:val="Normal"/>
        <w:numPr>
          <w:ilvl w:val="1"/>
          <w:numId w:val="5"/>
        </w:numPr>
        <w:tabs>
          <w:tab w:val="clear" w:pos="720"/>
        </w:tabs>
        <w:ind w:hanging="360" w:start="1080" w:end="0"/>
        <w:rPr>
          <w:b/>
          <w:bCs/>
          <w:i/>
          <w:i/>
          <w:iCs/>
          <w:sz w:val="20"/>
        </w:rPr>
      </w:pPr>
      <w:r>
        <w:rPr>
          <w:sz w:val="20"/>
        </w:rPr>
        <w:t>Currently, the contract terms “link” bond service to DWR’s long-term power deals by placing payments to suppliers under the contracts before any other claimants (i.e., bondholders and the utilities).</w:t>
      </w:r>
    </w:p>
    <w:p>
      <w:pPr>
        <w:pStyle w:val="Normal"/>
        <w:numPr>
          <w:ilvl w:val="1"/>
          <w:numId w:val="5"/>
        </w:numPr>
        <w:tabs>
          <w:tab w:val="clear" w:pos="720"/>
        </w:tabs>
        <w:ind w:hanging="360" w:start="1080" w:end="0"/>
        <w:rPr>
          <w:b/>
          <w:bCs/>
          <w:i/>
          <w:i/>
          <w:iCs/>
          <w:sz w:val="20"/>
        </w:rPr>
      </w:pPr>
      <w:r>
        <w:rPr>
          <w:sz w:val="20"/>
        </w:rPr>
        <w:t>Consequently, the Senate passed the bill with the intent of “de-linking” the bonds (needed to pay back the General Fund) from DWR’s long-term contracts.  Lawmakers now believe that DWR signed up for too much power, for too long, at too high of a price, and they want to reconsider the contracts before “locking them” in through the bond issuance.</w:t>
      </w:r>
    </w:p>
    <w:p>
      <w:pPr>
        <w:pStyle w:val="Normal"/>
        <w:numPr>
          <w:ilvl w:val="1"/>
          <w:numId w:val="5"/>
        </w:numPr>
        <w:tabs>
          <w:tab w:val="clear" w:pos="720"/>
        </w:tabs>
        <w:ind w:hanging="360" w:start="1080" w:end="0"/>
        <w:rPr>
          <w:sz w:val="20"/>
        </w:rPr>
      </w:pPr>
      <w:r>
        <w:rPr>
          <w:sz w:val="20"/>
        </w:rPr>
        <w:t>On the Assembly side, the Speaker is currently opposed to the bill due to lobbying by the Governor’s advisors, the Treasurer’s office and bond counsel. They have convinced the Speaker that creating a dedicated rate component solely for the bonds will constitute a breach, which under the DWR contract terms, would require the state to pay suppliers 1) the total value of the contract plus 2) liquidated damages.</w:t>
      </w:r>
    </w:p>
    <w:p>
      <w:pPr>
        <w:pStyle w:val="Normal"/>
        <w:numPr>
          <w:ilvl w:val="0"/>
          <w:numId w:val="6"/>
        </w:numPr>
        <w:tabs>
          <w:tab w:val="clear" w:pos="720"/>
        </w:tabs>
        <w:ind w:hanging="360" w:start="360" w:end="0"/>
        <w:rPr>
          <w:sz w:val="20"/>
        </w:rPr>
      </w:pPr>
      <w:r>
        <w:rPr>
          <w:sz w:val="20"/>
        </w:rPr>
        <w:t>The Assembly adjourned without passing any bills.</w:t>
      </w:r>
    </w:p>
    <w:p>
      <w:pPr>
        <w:pStyle w:val="Normal"/>
        <w:numPr>
          <w:ilvl w:val="1"/>
          <w:numId w:val="5"/>
        </w:numPr>
        <w:tabs>
          <w:tab w:val="clear" w:pos="720"/>
        </w:tabs>
        <w:ind w:hanging="360" w:start="1080" w:end="0"/>
        <w:rPr>
          <w:sz w:val="20"/>
        </w:rPr>
      </w:pPr>
      <w:r>
        <w:rPr>
          <w:sz w:val="20"/>
        </w:rPr>
        <w:t>The situation in the Assembly is the most uncertain.</w:t>
      </w:r>
    </w:p>
    <w:p>
      <w:pPr>
        <w:pStyle w:val="Normal"/>
        <w:numPr>
          <w:ilvl w:val="1"/>
          <w:numId w:val="5"/>
        </w:numPr>
        <w:tabs>
          <w:tab w:val="clear" w:pos="720"/>
        </w:tabs>
        <w:ind w:hanging="360" w:start="1080" w:end="0"/>
        <w:rPr>
          <w:sz w:val="20"/>
        </w:rPr>
      </w:pPr>
      <w:r>
        <w:rPr>
          <w:sz w:val="20"/>
        </w:rPr>
        <w:t>At this point, there is little support for SB 78—the Senate’s version of the Edison MOU—because it’s viewed as too far to the Left.</w:t>
      </w:r>
    </w:p>
    <w:p>
      <w:pPr>
        <w:pStyle w:val="Normal"/>
        <w:numPr>
          <w:ilvl w:val="1"/>
          <w:numId w:val="5"/>
        </w:numPr>
        <w:tabs>
          <w:tab w:val="clear" w:pos="720"/>
        </w:tabs>
        <w:ind w:hanging="360" w:start="1080" w:end="0"/>
        <w:rPr>
          <w:sz w:val="20"/>
        </w:rPr>
      </w:pPr>
      <w:r>
        <w:rPr>
          <w:sz w:val="20"/>
        </w:rPr>
        <w:t>Though well intentioned, the Speaker has been unable to devise a framework that can win the support of a majority his fellow Democrats in the Assembly.</w:t>
      </w:r>
    </w:p>
    <w:p>
      <w:pPr>
        <w:pStyle w:val="Normal"/>
        <w:numPr>
          <w:ilvl w:val="1"/>
          <w:numId w:val="5"/>
        </w:numPr>
        <w:tabs>
          <w:tab w:val="clear" w:pos="720"/>
        </w:tabs>
        <w:ind w:hanging="360" w:start="1080" w:end="0"/>
        <w:rPr>
          <w:sz w:val="20"/>
        </w:rPr>
      </w:pPr>
      <w:r>
        <w:rPr>
          <w:sz w:val="20"/>
        </w:rPr>
        <w:t>Early on, a group of frustrated Centrist Democrats split off to devise their own plan to preserve Direct Access and reject State purchase of Edison’s transmission system.  But without support from the Speaker, they’ve been unable to get much momentum.</w:t>
      </w:r>
    </w:p>
    <w:p>
      <w:pPr>
        <w:pStyle w:val="Normal"/>
        <w:numPr>
          <w:ilvl w:val="1"/>
          <w:numId w:val="5"/>
        </w:numPr>
        <w:tabs>
          <w:tab w:val="clear" w:pos="720"/>
        </w:tabs>
        <w:ind w:hanging="360" w:start="1080" w:end="0"/>
        <w:rPr>
          <w:sz w:val="20"/>
        </w:rPr>
      </w:pPr>
      <w:r>
        <w:rPr>
          <w:sz w:val="20"/>
        </w:rPr>
        <w:t>As an indication of how deep the frustration is, the Democratic head of the Assembly energy committee recently teamed up with committee Republicans to write a bill to compete with the Speaker’s.  The “bi-partisan” plan would (among other things) 1) give Edison enough money to pay all of its debts, 2) preserve Direct Access, and 3) reject buying the transmission system.</w:t>
      </w:r>
    </w:p>
    <w:p>
      <w:pPr>
        <w:pStyle w:val="Normal"/>
        <w:numPr>
          <w:ilvl w:val="1"/>
          <w:numId w:val="5"/>
        </w:numPr>
        <w:tabs>
          <w:tab w:val="clear" w:pos="720"/>
        </w:tabs>
        <w:ind w:hanging="360" w:start="1080" w:end="0"/>
        <w:rPr>
          <w:sz w:val="20"/>
        </w:rPr>
      </w:pPr>
      <w:r>
        <w:rPr>
          <w:sz w:val="20"/>
        </w:rPr>
        <w:t>When the Speaker realized that the bi-partisan bill had more support than his own, he adjourned for summer recess.</w:t>
      </w:r>
    </w:p>
    <w:p>
      <w:pPr>
        <w:pStyle w:val="Normal"/>
        <w:numPr>
          <w:ilvl w:val="0"/>
          <w:numId w:val="6"/>
        </w:numPr>
        <w:tabs>
          <w:tab w:val="clear" w:pos="720"/>
        </w:tabs>
        <w:ind w:hanging="360" w:start="360" w:end="0"/>
        <w:rPr>
          <w:sz w:val="20"/>
        </w:rPr>
      </w:pPr>
      <w:r>
        <w:rPr>
          <w:sz w:val="20"/>
        </w:rPr>
        <w:t xml:space="preserve">Some members of the Assembly and Assembly staff are continuing to work during the break in the attempt to forge a compromise that can win passage in the Assembly.  </w:t>
      </w:r>
    </w:p>
    <w:p>
      <w:pPr>
        <w:pStyle w:val="Normal"/>
        <w:numPr>
          <w:ilvl w:val="0"/>
          <w:numId w:val="6"/>
        </w:numPr>
        <w:tabs>
          <w:tab w:val="clear" w:pos="720"/>
        </w:tabs>
        <w:ind w:hanging="360" w:start="360" w:end="0"/>
        <w:rPr>
          <w:sz w:val="20"/>
        </w:rPr>
      </w:pPr>
      <w:r>
        <w:rPr>
          <w:sz w:val="20"/>
        </w:rPr>
        <w:t>Given the extreme diversity of opinion in the Assembly, the growing number of opinion leaders and legislators who oppose “doing anything for Edison,” and the decreased sense of urgency since gas and electric prices have dropped in California, it is very uncertain whether the Assembly will ultimately pass an MOU.</w:t>
      </w:r>
    </w:p>
    <w:p>
      <w:pPr>
        <w:pStyle w:val="Normal"/>
        <w:numPr>
          <w:ilvl w:val="0"/>
          <w:numId w:val="6"/>
        </w:numPr>
        <w:tabs>
          <w:tab w:val="clear" w:pos="720"/>
        </w:tabs>
        <w:ind w:hanging="360" w:start="360" w:end="0"/>
        <w:rPr>
          <w:sz w:val="20"/>
        </w:rPr>
      </w:pPr>
      <w:r>
        <w:rPr>
          <w:sz w:val="20"/>
        </w:rPr>
        <w:t xml:space="preserve">In addition, Burton continues to say that “he’s not doing anything other than the bills he’s already passed and sent to the Assembly, period.”  He’s stated that there will be no compromises.  </w:t>
      </w:r>
    </w:p>
    <w:p>
      <w:pPr>
        <w:pStyle w:val="Normal"/>
        <w:numPr>
          <w:ilvl w:val="0"/>
          <w:numId w:val="6"/>
        </w:numPr>
        <w:tabs>
          <w:tab w:val="clear" w:pos="720"/>
        </w:tabs>
        <w:ind w:hanging="360" w:start="360" w:end="0"/>
        <w:rPr>
          <w:sz w:val="20"/>
        </w:rPr>
      </w:pPr>
      <w:r>
        <w:rPr>
          <w:sz w:val="20"/>
        </w:rPr>
        <w:t>The relationship between Burton and Hertzberg appears to be very strained; and the relationship between Burton and the Governor appears to be nearly nonexistent.</w:t>
      </w:r>
    </w:p>
    <w:p>
      <w:pPr>
        <w:pStyle w:val="Normal"/>
        <w:numPr>
          <w:ilvl w:val="0"/>
          <w:numId w:val="6"/>
        </w:numPr>
        <w:tabs>
          <w:tab w:val="clear" w:pos="720"/>
        </w:tabs>
        <w:ind w:hanging="360" w:start="360" w:end="0"/>
        <w:rPr>
          <w:sz w:val="20"/>
        </w:rPr>
      </w:pPr>
      <w:r>
        <w:rPr>
          <w:sz w:val="20"/>
        </w:rPr>
        <w:t>With PG&amp;E in bankruptcy and no legislative solution in sight for Edison, the likelihood that Edison will be taken into an involuntary bankruptcy grows.  Decreasing gas and electricity prices could help Edison’s financial position and forestall an involuntary for some period of time, however.</w:t>
      </w:r>
    </w:p>
    <w:p>
      <w:pPr>
        <w:pStyle w:val="Normal"/>
        <w:numPr>
          <w:ilvl w:val="0"/>
          <w:numId w:val="6"/>
        </w:numPr>
        <w:tabs>
          <w:tab w:val="clear" w:pos="720"/>
        </w:tabs>
        <w:ind w:hanging="360" w:start="360" w:end="0"/>
        <w:rPr>
          <w:sz w:val="20"/>
        </w:rPr>
      </w:pPr>
      <w:r>
        <w:rPr>
          <w:sz w:val="20"/>
        </w:rPr>
        <w:t>A compromise is still possible, but success requires:</w:t>
      </w:r>
    </w:p>
    <w:p>
      <w:pPr>
        <w:pStyle w:val="Normal"/>
        <w:numPr>
          <w:ilvl w:val="0"/>
          <w:numId w:val="6"/>
        </w:numPr>
        <w:tabs>
          <w:tab w:val="clear" w:pos="720"/>
        </w:tabs>
        <w:ind w:hanging="360" w:start="360" w:end="0"/>
        <w:rPr>
          <w:sz w:val="20"/>
          <w:highlight w:val="yellow"/>
        </w:rPr>
      </w:pPr>
      <w:r>
        <w:rPr>
          <w:b/>
          <w:bCs/>
          <w:sz w:val="20"/>
          <w:highlight w:val="yellow"/>
        </w:rPr>
        <w:t>The chance of reaching a deal—though remote—still exists, but additional, strong facilitation is critical or efforts will fail</w:t>
      </w:r>
      <w:r>
        <w:rPr>
          <w:sz w:val="20"/>
          <w:highlight w:val="yellow"/>
        </w:rPr>
        <w:t>:</w:t>
      </w:r>
    </w:p>
    <w:p>
      <w:pPr>
        <w:pStyle w:val="Normal"/>
        <w:numPr>
          <w:ilvl w:val="1"/>
          <w:numId w:val="3"/>
        </w:numPr>
        <w:tabs>
          <w:tab w:val="clear" w:pos="720"/>
        </w:tabs>
        <w:ind w:hanging="360" w:start="720" w:end="0"/>
        <w:rPr>
          <w:sz w:val="20"/>
          <w:highlight w:val="yellow"/>
        </w:rPr>
      </w:pPr>
      <w:r>
        <w:rPr>
          <w:sz w:val="20"/>
          <w:highlight w:val="yellow"/>
        </w:rPr>
        <w:t>The Governor has taken the position that he has done his job by negotiating an MOU with Edison and it’s now “up to the Legislature to do its job”;</w:t>
      </w:r>
    </w:p>
    <w:p>
      <w:pPr>
        <w:pStyle w:val="Normal"/>
        <w:numPr>
          <w:ilvl w:val="1"/>
          <w:numId w:val="3"/>
        </w:numPr>
        <w:tabs>
          <w:tab w:val="clear" w:pos="720"/>
        </w:tabs>
        <w:ind w:hanging="360" w:start="720" w:end="0"/>
        <w:rPr>
          <w:sz w:val="20"/>
          <w:highlight w:val="yellow"/>
        </w:rPr>
      </w:pPr>
      <w:r>
        <w:rPr>
          <w:sz w:val="20"/>
          <w:highlight w:val="yellow"/>
        </w:rPr>
        <w:t>This has angered Senator Burton, who believes that the deal struck by the Governor is bad for consumers, which prompted Burton to re-do the deal in the form of SB 78, described above.</w:t>
      </w:r>
    </w:p>
    <w:p>
      <w:pPr>
        <w:pStyle w:val="Normal"/>
        <w:numPr>
          <w:ilvl w:val="1"/>
          <w:numId w:val="3"/>
        </w:numPr>
        <w:tabs>
          <w:tab w:val="clear" w:pos="720"/>
        </w:tabs>
        <w:ind w:hanging="360" w:start="720" w:end="0"/>
        <w:rPr>
          <w:sz w:val="20"/>
          <w:highlight w:val="yellow"/>
        </w:rPr>
      </w:pPr>
      <w:r>
        <w:rPr>
          <w:sz w:val="20"/>
          <w:highlight w:val="yellow"/>
        </w:rPr>
        <w:t>Speaker Hertzberg believes that the appropriate deal falls somewhere between the Governor’s MOU and Burton’s legislation, which includes continuing to allow for customer choice (i.e., “Direct Access).</w:t>
      </w:r>
    </w:p>
    <w:p>
      <w:pPr>
        <w:pStyle w:val="Normal"/>
        <w:numPr>
          <w:ilvl w:val="1"/>
          <w:numId w:val="3"/>
        </w:numPr>
        <w:tabs>
          <w:tab w:val="clear" w:pos="720"/>
        </w:tabs>
        <w:ind w:hanging="360" w:start="720" w:end="0"/>
        <w:rPr>
          <w:sz w:val="20"/>
          <w:highlight w:val="yellow"/>
        </w:rPr>
      </w:pPr>
      <w:r>
        <w:rPr>
          <w:sz w:val="20"/>
          <w:highlight w:val="yellow"/>
        </w:rPr>
        <w:t>The Governor has been unable, and/or chosen not, to broker a deal between Hertzberg in the Assembly and Burton in the Senate.</w:t>
      </w:r>
    </w:p>
    <w:p>
      <w:pPr>
        <w:pStyle w:val="Normal"/>
        <w:numPr>
          <w:ilvl w:val="1"/>
          <w:numId w:val="3"/>
        </w:numPr>
        <w:tabs>
          <w:tab w:val="clear" w:pos="720"/>
        </w:tabs>
        <w:ind w:hanging="360" w:start="720" w:end="0"/>
        <w:rPr>
          <w:sz w:val="20"/>
          <w:highlight w:val="yellow"/>
        </w:rPr>
      </w:pPr>
      <w:r>
        <w:rPr>
          <w:sz w:val="20"/>
          <w:highlight w:val="yellow"/>
        </w:rPr>
        <w:t>In this environment, a solution in California requires someone who can facilitate a negotiation between Davis, Hertzberg and Burton, and the interests that each represents.</w:t>
      </w:r>
    </w:p>
    <w:p>
      <w:pPr>
        <w:pStyle w:val="Normal"/>
        <w:numPr>
          <w:ilvl w:val="1"/>
          <w:numId w:val="3"/>
        </w:numPr>
        <w:tabs>
          <w:tab w:val="clear" w:pos="720"/>
        </w:tabs>
        <w:ind w:hanging="360" w:start="720" w:end="0"/>
        <w:rPr>
          <w:sz w:val="20"/>
          <w:highlight w:val="yellow"/>
        </w:rPr>
      </w:pPr>
      <w:r>
        <w:rPr>
          <w:sz w:val="20"/>
          <w:highlight w:val="yellow"/>
        </w:rPr>
        <w:t xml:space="preserve">Ideally, any deal agreed to by the Governor, Hertzberg and Burton should attract a visible number of Republicans in order to be lasting. </w:t>
      </w:r>
    </w:p>
    <w:p>
      <w:pPr>
        <w:pStyle w:val="Normal"/>
        <w:numPr>
          <w:ilvl w:val="1"/>
          <w:numId w:val="3"/>
        </w:numPr>
        <w:tabs>
          <w:tab w:val="clear" w:pos="720"/>
        </w:tabs>
        <w:ind w:hanging="360" w:start="720" w:end="0"/>
        <w:rPr>
          <w:sz w:val="20"/>
          <w:highlight w:val="yellow"/>
        </w:rPr>
      </w:pPr>
      <w:r>
        <w:rPr>
          <w:sz w:val="20"/>
          <w:highlight w:val="yellow"/>
        </w:rPr>
        <w:t>Finally, the issues are complex, and it has been very difficult to reach a deal with each and every interest in the same room at the same time to discuss all issues simultaneously.</w:t>
      </w:r>
    </w:p>
    <w:p>
      <w:pPr>
        <w:pStyle w:val="Normal"/>
        <w:numPr>
          <w:ilvl w:val="1"/>
          <w:numId w:val="3"/>
        </w:numPr>
        <w:tabs>
          <w:tab w:val="clear" w:pos="720"/>
        </w:tabs>
        <w:ind w:hanging="360" w:start="720" w:end="0"/>
        <w:rPr>
          <w:sz w:val="20"/>
          <w:highlight w:val="yellow"/>
        </w:rPr>
      </w:pPr>
      <w:r>
        <w:rPr>
          <w:sz w:val="20"/>
          <w:highlight w:val="yellow"/>
        </w:rPr>
        <w:t xml:space="preserve">A better approach might be to divide the issues and address them simultaneously, with a facilitator assigned to each issue “negotiation.”  </w:t>
      </w:r>
    </w:p>
    <w:p>
      <w:pPr>
        <w:pStyle w:val="Normal"/>
        <w:numPr>
          <w:ilvl w:val="1"/>
          <w:numId w:val="3"/>
        </w:numPr>
        <w:tabs>
          <w:tab w:val="clear" w:pos="720"/>
        </w:tabs>
        <w:ind w:hanging="360" w:start="720" w:end="0"/>
        <w:rPr>
          <w:i/>
          <w:i/>
          <w:iCs/>
          <w:sz w:val="20"/>
          <w:highlight w:val="yellow"/>
        </w:rPr>
      </w:pPr>
      <w:r>
        <w:rPr>
          <w:sz w:val="20"/>
          <w:highlight w:val="yellow"/>
        </w:rPr>
        <w:t xml:space="preserve">The issues might be divided into the following categories: </w:t>
      </w:r>
      <w:r>
        <w:rPr>
          <w:i/>
          <w:iCs/>
          <w:sz w:val="20"/>
          <w:highlight w:val="yellow"/>
        </w:rPr>
        <w:t>1) what is the most efficient way to service the bonds through rates?; 2) what if anything can be done to ensure that the DWR contracts don’t burden the state’s economy for years or decades to come?; 3) how to resolve repayment of Edison’s past debts in order to keep Edison from bankruptcy, and how to ensure that rates are sufficient to keep Edison solvent going forward?; and 4) how to maintain Direct Access for all California consumers and businesses?</w:t>
      </w:r>
    </w:p>
    <w:p>
      <w:pPr>
        <w:pStyle w:val="Normal"/>
        <w:rPr>
          <w:i/>
          <w:i/>
          <w:iCs/>
          <w:sz w:val="20"/>
          <w:highlight w:val="yellow"/>
        </w:rPr>
      </w:pPr>
      <w:r>
        <w:rPr>
          <w:i/>
          <w:iCs/>
          <w:sz w:val="20"/>
          <w:highlight w:val="yellow"/>
        </w:rPr>
      </w:r>
    </w:p>
    <w:p>
      <w:pPr>
        <w:pStyle w:val="Heading1"/>
        <w:ind w:hanging="0" w:start="0"/>
        <w:rPr/>
      </w:pPr>
      <w:r>
        <w:rPr/>
        <w:t>Contempt Proceedings Against Enron and other Suppliers</w:t>
      </w:r>
    </w:p>
    <w:p>
      <w:pPr>
        <w:pStyle w:val="Normal"/>
        <w:numPr>
          <w:ilvl w:val="0"/>
          <w:numId w:val="6"/>
        </w:numPr>
        <w:tabs>
          <w:tab w:val="clear" w:pos="720"/>
        </w:tabs>
        <w:ind w:hanging="360" w:start="360" w:end="0"/>
        <w:rPr>
          <w:sz w:val="20"/>
        </w:rPr>
      </w:pPr>
      <w:r>
        <w:rPr>
          <w:sz w:val="20"/>
        </w:rPr>
        <w:t>On July 21</w:t>
      </w:r>
      <w:r>
        <w:rPr>
          <w:sz w:val="20"/>
          <w:vertAlign w:val="superscript"/>
        </w:rPr>
        <w:t>st</w:t>
      </w:r>
      <w:r>
        <w:rPr>
          <w:sz w:val="20"/>
        </w:rPr>
        <w:t xml:space="preserve">, the Senate Select Committee sent its report to the Rules Committee (and ultimately to the full Senate) recommending that the Senate 1) find Enron in contempt for failure to comply to the Senate’s subpoena, and 2) fine Enron $1,000 (compounded daily) until Enron complies with the subpoena. </w:t>
      </w:r>
    </w:p>
    <w:p>
      <w:pPr>
        <w:pStyle w:val="Normal"/>
        <w:numPr>
          <w:ilvl w:val="0"/>
          <w:numId w:val="6"/>
        </w:numPr>
        <w:tabs>
          <w:tab w:val="clear" w:pos="720"/>
        </w:tabs>
        <w:ind w:hanging="360" w:start="360" w:end="0"/>
        <w:rPr>
          <w:sz w:val="20"/>
        </w:rPr>
      </w:pPr>
      <w:r>
        <w:rPr>
          <w:sz w:val="20"/>
        </w:rPr>
        <w:t xml:space="preserve">Enron has been reluctant to provide certain documents to the committee on the grounds that the committee has gone far beyond its jurisdiction and has in our view turned a blind eye to the company’s basic due process rights.  </w:t>
      </w:r>
    </w:p>
    <w:p>
      <w:pPr>
        <w:pStyle w:val="Normal"/>
        <w:numPr>
          <w:ilvl w:val="0"/>
          <w:numId w:val="6"/>
        </w:numPr>
        <w:tabs>
          <w:tab w:val="clear" w:pos="720"/>
        </w:tabs>
        <w:ind w:hanging="360" w:start="360" w:end="0"/>
        <w:rPr>
          <w:sz w:val="20"/>
        </w:rPr>
      </w:pPr>
      <w:r>
        <w:rPr>
          <w:sz w:val="20"/>
        </w:rPr>
        <w:t>The committee has asked for documents that, in Enron’s view, 1) pertain to wholesale markets (FERC’s jurisdiction) and/or 2) don’t physically reside in California.</w:t>
      </w:r>
    </w:p>
    <w:p>
      <w:pPr>
        <w:pStyle w:val="Normal"/>
        <w:numPr>
          <w:ilvl w:val="0"/>
          <w:numId w:val="6"/>
        </w:numPr>
        <w:tabs>
          <w:tab w:val="clear" w:pos="720"/>
        </w:tabs>
        <w:ind w:hanging="360" w:start="360" w:end="0"/>
        <w:rPr>
          <w:sz w:val="20"/>
        </w:rPr>
      </w:pPr>
      <w:r>
        <w:rPr>
          <w:sz w:val="20"/>
        </w:rPr>
        <w:t xml:space="preserve">It is our view that the committee has unfairly singled out Enron for political reasons and we have sent a letter to the committee stating that view.  </w:t>
      </w:r>
    </w:p>
    <w:p>
      <w:pPr>
        <w:pStyle w:val="Normal"/>
        <w:numPr>
          <w:ilvl w:val="0"/>
          <w:numId w:val="6"/>
        </w:numPr>
        <w:tabs>
          <w:tab w:val="clear" w:pos="720"/>
        </w:tabs>
        <w:ind w:hanging="360" w:start="360" w:end="0"/>
        <w:rPr>
          <w:sz w:val="20"/>
        </w:rPr>
      </w:pPr>
      <w:r>
        <w:rPr>
          <w:sz w:val="20"/>
        </w:rPr>
        <w:t>We have expressed our view that the committee has ignored our basic rights of due process and have urged Senate members to vote against the committee’s recommendation to find Enron in contempt and to impose fines.</w:t>
      </w:r>
    </w:p>
    <w:p>
      <w:pPr>
        <w:pStyle w:val="Normal"/>
        <w:numPr>
          <w:ilvl w:val="0"/>
          <w:numId w:val="6"/>
        </w:numPr>
        <w:tabs>
          <w:tab w:val="clear" w:pos="720"/>
        </w:tabs>
        <w:ind w:hanging="360" w:start="360" w:end="0"/>
        <w:rPr>
          <w:sz w:val="20"/>
        </w:rPr>
      </w:pPr>
      <w:r>
        <w:rPr>
          <w:sz w:val="20"/>
        </w:rPr>
        <w:t xml:space="preserve">However, the Senate is one member shy of a two-third’s Democratic majority.  To pass the contempt recommendation only requires a simply majority vote. </w:t>
      </w:r>
    </w:p>
    <w:p>
      <w:pPr>
        <w:pStyle w:val="Normal"/>
        <w:numPr>
          <w:ilvl w:val="0"/>
          <w:numId w:val="6"/>
        </w:numPr>
        <w:tabs>
          <w:tab w:val="clear" w:pos="720"/>
        </w:tabs>
        <w:ind w:hanging="360" w:start="360" w:end="0"/>
        <w:rPr>
          <w:sz w:val="20"/>
        </w:rPr>
      </w:pPr>
      <w:r>
        <w:rPr>
          <w:sz w:val="20"/>
        </w:rPr>
        <w:t>The Senate is likely to take up the matter for a vote shortly after it reconvenes on August 20</w:t>
      </w:r>
      <w:r>
        <w:rPr>
          <w:sz w:val="20"/>
          <w:vertAlign w:val="superscript"/>
        </w:rPr>
        <w:t>th</w:t>
      </w:r>
      <w:r>
        <w:rPr>
          <w:sz w:val="20"/>
        </w:rPr>
        <w:t>.</w:t>
      </w:r>
    </w:p>
    <w:p>
      <w:pPr>
        <w:pStyle w:val="Normal"/>
        <w:numPr>
          <w:ilvl w:val="0"/>
          <w:numId w:val="6"/>
        </w:numPr>
        <w:tabs>
          <w:tab w:val="clear" w:pos="720"/>
        </w:tabs>
        <w:ind w:hanging="360" w:start="360" w:end="0"/>
        <w:rPr>
          <w:sz w:val="20"/>
        </w:rPr>
      </w:pPr>
      <w:r>
        <w:rPr>
          <w:sz w:val="20"/>
        </w:rPr>
        <w:t>Meanwhile, Enron has sued the Senate Select Committee in Sacramento Superior Court, asking the court to intervene on our behalf and rule on the objections Enron has raised with respect to violation of due process and the committee’s other activities and actions to date.</w:t>
      </w:r>
    </w:p>
    <w:p>
      <w:pPr>
        <w:pStyle w:val="Normal"/>
        <w:numPr>
          <w:ilvl w:val="0"/>
          <w:numId w:val="6"/>
        </w:numPr>
        <w:tabs>
          <w:tab w:val="clear" w:pos="720"/>
        </w:tabs>
        <w:ind w:hanging="360" w:start="360" w:end="0"/>
        <w:rPr>
          <w:sz w:val="20"/>
        </w:rPr>
      </w:pPr>
      <w:r>
        <w:rPr>
          <w:sz w:val="20"/>
        </w:rPr>
        <w:t>The court has set August 23</w:t>
      </w:r>
      <w:r>
        <w:rPr>
          <w:sz w:val="20"/>
          <w:vertAlign w:val="superscript"/>
        </w:rPr>
        <w:t>rd</w:t>
      </w:r>
      <w:r>
        <w:rPr>
          <w:sz w:val="20"/>
        </w:rPr>
        <w:t xml:space="preserve"> as the date to hear and rule on Enron’s objections.</w:t>
      </w:r>
    </w:p>
    <w:p>
      <w:pPr>
        <w:pStyle w:val="Normal"/>
        <w:rPr>
          <w:sz w:val="20"/>
        </w:rPr>
      </w:pPr>
      <w:r>
        <w:rPr>
          <w:sz w:val="20"/>
        </w:rPr>
      </w:r>
    </w:p>
    <w:p>
      <w:pPr>
        <w:pStyle w:val="Subtitle"/>
        <w:rPr/>
      </w:pPr>
      <w:r>
        <w:rPr/>
        <w:t xml:space="preserve">The California Public Utilities Commission </w:t>
      </w:r>
    </w:p>
    <w:p>
      <w:pPr>
        <w:pStyle w:val="Normal"/>
        <w:numPr>
          <w:ilvl w:val="0"/>
          <w:numId w:val="6"/>
        </w:numPr>
        <w:tabs>
          <w:tab w:val="clear" w:pos="720"/>
        </w:tabs>
        <w:ind w:hanging="360" w:start="360" w:end="0"/>
        <w:rPr>
          <w:sz w:val="20"/>
        </w:rPr>
      </w:pPr>
      <w:r>
        <w:rPr>
          <w:sz w:val="20"/>
        </w:rPr>
        <w:t>Since the Legislature has failed to act, many of the issues now revert back to the CPUC.</w:t>
      </w:r>
    </w:p>
    <w:p>
      <w:pPr>
        <w:pStyle w:val="Normal"/>
        <w:numPr>
          <w:ilvl w:val="0"/>
          <w:numId w:val="6"/>
        </w:numPr>
        <w:tabs>
          <w:tab w:val="clear" w:pos="720"/>
        </w:tabs>
        <w:ind w:hanging="360" w:start="360" w:end="0"/>
        <w:rPr>
          <w:sz w:val="20"/>
        </w:rPr>
      </w:pPr>
      <w:r>
        <w:rPr>
          <w:sz w:val="20"/>
        </w:rPr>
        <w:t>The PUC is under significant pressure to take several actions deemed necessary to support the bond issuance, including:</w:t>
      </w:r>
    </w:p>
    <w:p>
      <w:pPr>
        <w:pStyle w:val="Normal"/>
        <w:numPr>
          <w:ilvl w:val="1"/>
          <w:numId w:val="5"/>
        </w:numPr>
        <w:tabs>
          <w:tab w:val="clear" w:pos="720"/>
        </w:tabs>
        <w:ind w:hanging="360" w:start="1080" w:end="0"/>
        <w:rPr>
          <w:sz w:val="20"/>
        </w:rPr>
      </w:pPr>
      <w:r>
        <w:rPr>
          <w:sz w:val="20"/>
        </w:rPr>
        <w:t>A rate agreement between the CPUC and DWR guaranteeing that DWR will recover its power purchase costs and that the CPUC will not question putting those costs into rates.</w:t>
      </w:r>
    </w:p>
    <w:p>
      <w:pPr>
        <w:pStyle w:val="Normal"/>
        <w:numPr>
          <w:ilvl w:val="1"/>
          <w:numId w:val="5"/>
        </w:numPr>
        <w:tabs>
          <w:tab w:val="clear" w:pos="720"/>
        </w:tabs>
        <w:ind w:hanging="360" w:start="1080" w:end="0"/>
        <w:rPr>
          <w:sz w:val="20"/>
        </w:rPr>
      </w:pPr>
      <w:r>
        <w:rPr>
          <w:sz w:val="20"/>
        </w:rPr>
        <w:t>A rate agreement that ensures adequate revenues to cover the bonds to repay the General Fund.</w:t>
      </w:r>
    </w:p>
    <w:p>
      <w:pPr>
        <w:pStyle w:val="Normal"/>
        <w:numPr>
          <w:ilvl w:val="1"/>
          <w:numId w:val="5"/>
        </w:numPr>
        <w:tabs>
          <w:tab w:val="clear" w:pos="720"/>
        </w:tabs>
        <w:ind w:hanging="360" w:start="1080" w:end="0"/>
        <w:rPr>
          <w:sz w:val="20"/>
        </w:rPr>
      </w:pPr>
      <w:r>
        <w:rPr>
          <w:sz w:val="20"/>
        </w:rPr>
        <w:t>A rate agreement that increases San Diego Gas &amp; Electric Rates.</w:t>
      </w:r>
    </w:p>
    <w:p>
      <w:pPr>
        <w:pStyle w:val="Normal"/>
        <w:numPr>
          <w:ilvl w:val="1"/>
          <w:numId w:val="5"/>
        </w:numPr>
        <w:tabs>
          <w:tab w:val="clear" w:pos="720"/>
        </w:tabs>
        <w:ind w:hanging="360" w:start="1080" w:end="0"/>
        <w:rPr>
          <w:sz w:val="20"/>
        </w:rPr>
      </w:pPr>
      <w:r>
        <w:rPr>
          <w:sz w:val="20"/>
        </w:rPr>
        <w:t>Suspension of Direct Access.</w:t>
      </w:r>
    </w:p>
    <w:p>
      <w:pPr>
        <w:pStyle w:val="Normal"/>
        <w:numPr>
          <w:ilvl w:val="0"/>
          <w:numId w:val="6"/>
        </w:numPr>
        <w:tabs>
          <w:tab w:val="clear" w:pos="720"/>
        </w:tabs>
        <w:ind w:hanging="360" w:start="360" w:end="0"/>
        <w:rPr>
          <w:sz w:val="20"/>
        </w:rPr>
      </w:pPr>
      <w:r>
        <w:rPr>
          <w:sz w:val="20"/>
        </w:rPr>
        <w:t>Considerable uncertainty remains with respect to whether current rates are sufficient to cover the aggregate cost of 1) DWR contracts, 2) the bonds necessary to repay the General Fund, and 3) the utilities’ cost of generation.</w:t>
      </w:r>
    </w:p>
    <w:p>
      <w:pPr>
        <w:pStyle w:val="Normal"/>
        <w:numPr>
          <w:ilvl w:val="0"/>
          <w:numId w:val="6"/>
        </w:numPr>
        <w:tabs>
          <w:tab w:val="clear" w:pos="720"/>
        </w:tabs>
        <w:ind w:hanging="360" w:start="360" w:end="0"/>
        <w:rPr>
          <w:sz w:val="20"/>
        </w:rPr>
      </w:pPr>
      <w:r>
        <w:rPr>
          <w:sz w:val="20"/>
        </w:rPr>
        <w:t>PG&amp;E has threatened to sue unless they are given the same rights to the rate revenues as DWR.</w:t>
      </w:r>
    </w:p>
    <w:p>
      <w:pPr>
        <w:pStyle w:val="Normal"/>
        <w:numPr>
          <w:ilvl w:val="0"/>
          <w:numId w:val="6"/>
        </w:numPr>
        <w:tabs>
          <w:tab w:val="clear" w:pos="720"/>
        </w:tabs>
        <w:ind w:hanging="360" w:start="360" w:end="0"/>
        <w:rPr>
          <w:sz w:val="20"/>
        </w:rPr>
      </w:pPr>
      <w:r>
        <w:rPr>
          <w:sz w:val="20"/>
        </w:rPr>
        <w:t>In addition, the CPUC is resisting ceding its rate authority to DWR. The PUC believes that it’s being forced to write DWR “a blank check” by giving DWR the ability to flow its costs directly through to utility rates.</w:t>
      </w:r>
    </w:p>
    <w:p>
      <w:pPr>
        <w:pStyle w:val="Normal"/>
        <w:numPr>
          <w:ilvl w:val="0"/>
          <w:numId w:val="6"/>
        </w:numPr>
        <w:tabs>
          <w:tab w:val="clear" w:pos="720"/>
        </w:tabs>
        <w:ind w:hanging="360" w:start="360" w:end="0"/>
        <w:rPr>
          <w:sz w:val="20"/>
        </w:rPr>
      </w:pPr>
      <w:r>
        <w:rPr>
          <w:sz w:val="20"/>
        </w:rPr>
        <w:t xml:space="preserve">A protracted legal struggle over rates could threaten the bond issuance, which continues to make the Governor and the Treasurer very nervous. </w:t>
      </w:r>
    </w:p>
    <w:p>
      <w:pPr>
        <w:pStyle w:val="Normal"/>
        <w:numPr>
          <w:ilvl w:val="0"/>
          <w:numId w:val="6"/>
        </w:numPr>
        <w:tabs>
          <w:tab w:val="clear" w:pos="720"/>
        </w:tabs>
        <w:ind w:hanging="360" w:start="360" w:end="0"/>
        <w:rPr>
          <w:sz w:val="20"/>
        </w:rPr>
      </w:pPr>
      <w:r>
        <w:rPr>
          <w:sz w:val="20"/>
        </w:rPr>
        <w:t>At $12.5 billion, the bond issuance represents the largest in history—by about a factor of four.</w:t>
      </w:r>
    </w:p>
    <w:p>
      <w:pPr>
        <w:pStyle w:val="Normal"/>
        <w:numPr>
          <w:ilvl w:val="0"/>
          <w:numId w:val="6"/>
        </w:numPr>
        <w:tabs>
          <w:tab w:val="clear" w:pos="720"/>
        </w:tabs>
        <w:ind w:hanging="360" w:start="360" w:end="0"/>
        <w:rPr>
          <w:sz w:val="20"/>
        </w:rPr>
      </w:pPr>
      <w:r>
        <w:rPr>
          <w:sz w:val="20"/>
        </w:rPr>
        <w:t>Recent reports in the Wall Street Journal indicate that the chaos in California is taking its toll. Many investors have expressed reluctance to invest in revenue bonds issued by the State.  Nonetheless most believe that State will be successful but that the overall cost of the issuance will be high.</w:t>
      </w:r>
    </w:p>
    <w:p>
      <w:pPr>
        <w:pStyle w:val="Normal"/>
        <w:numPr>
          <w:ilvl w:val="0"/>
          <w:numId w:val="6"/>
        </w:numPr>
        <w:tabs>
          <w:tab w:val="clear" w:pos="720"/>
        </w:tabs>
        <w:ind w:hanging="360" w:start="360" w:end="0"/>
        <w:rPr>
          <w:sz w:val="20"/>
        </w:rPr>
      </w:pPr>
      <w:r>
        <w:rPr>
          <w:sz w:val="20"/>
        </w:rPr>
        <w:t>The inability to issue the bonds would add to the energy crisis by possibly invoking a fiscal crisis.  But again, falling gas and electricity prices should aid the issuance, since it leaves more room in rates to cover bond service.</w:t>
      </w:r>
    </w:p>
    <w:p>
      <w:pPr>
        <w:pStyle w:val="Normal"/>
        <w:rPr>
          <w:sz w:val="20"/>
        </w:rPr>
      </w:pPr>
      <w:r>
        <w:rPr>
          <w:sz w:val="20"/>
        </w:rPr>
      </w:r>
    </w:p>
    <w:p>
      <w:pPr>
        <w:pStyle w:val="Heading2"/>
        <w:ind w:hanging="0" w:start="0"/>
        <w:rPr>
          <w:b w:val="false"/>
          <w:bCs w:val="false"/>
          <w:i w:val="false"/>
          <w:i w:val="false"/>
          <w:iCs w:val="false"/>
          <w:u w:val="single"/>
        </w:rPr>
      </w:pPr>
      <w:r>
        <w:rPr>
          <w:i w:val="false"/>
          <w:iCs w:val="false"/>
          <w:u w:val="single"/>
        </w:rPr>
        <w:t>Miscellaneous Events—Reports of Conflict of Interest</w:t>
      </w:r>
    </w:p>
    <w:p>
      <w:pPr>
        <w:pStyle w:val="Normal"/>
        <w:numPr>
          <w:ilvl w:val="0"/>
          <w:numId w:val="6"/>
        </w:numPr>
        <w:tabs>
          <w:tab w:val="clear" w:pos="720"/>
        </w:tabs>
        <w:ind w:hanging="360" w:start="360" w:end="0"/>
        <w:rPr>
          <w:sz w:val="20"/>
        </w:rPr>
      </w:pPr>
      <w:r>
        <w:rPr>
          <w:sz w:val="20"/>
        </w:rPr>
        <w:t xml:space="preserve">Press reports have recently revealed that key officials in the Davis administration hold stock in the same energy companies that the administration has been vilifying for months.  </w:t>
      </w:r>
    </w:p>
    <w:p>
      <w:pPr>
        <w:pStyle w:val="Normal"/>
        <w:numPr>
          <w:ilvl w:val="0"/>
          <w:numId w:val="6"/>
        </w:numPr>
        <w:tabs>
          <w:tab w:val="clear" w:pos="720"/>
        </w:tabs>
        <w:ind w:hanging="360" w:start="360" w:end="0"/>
        <w:rPr>
          <w:sz w:val="20"/>
        </w:rPr>
      </w:pPr>
      <w:r>
        <w:rPr>
          <w:sz w:val="20"/>
        </w:rPr>
        <w:t>It was uncovered that:</w:t>
      </w:r>
    </w:p>
    <w:p>
      <w:pPr>
        <w:pStyle w:val="Normal"/>
        <w:numPr>
          <w:ilvl w:val="0"/>
          <w:numId w:val="2"/>
        </w:numPr>
        <w:tabs>
          <w:tab w:val="clear" w:pos="720"/>
        </w:tabs>
        <w:ind w:hanging="360" w:start="720" w:end="0"/>
        <w:rPr>
          <w:sz w:val="20"/>
        </w:rPr>
      </w:pPr>
      <w:r>
        <w:rPr>
          <w:sz w:val="20"/>
        </w:rPr>
        <w:t>DWR traders owned energy company stocks, most notably Calpine.  The Governor fired five traders late last Friday.</w:t>
      </w:r>
    </w:p>
    <w:p>
      <w:pPr>
        <w:pStyle w:val="Normal"/>
        <w:numPr>
          <w:ilvl w:val="0"/>
          <w:numId w:val="2"/>
        </w:numPr>
        <w:tabs>
          <w:tab w:val="clear" w:pos="720"/>
        </w:tabs>
        <w:ind w:hanging="360" w:start="720" w:end="0"/>
        <w:rPr>
          <w:sz w:val="20"/>
        </w:rPr>
      </w:pPr>
      <w:r>
        <w:rPr>
          <w:sz w:val="20"/>
        </w:rPr>
        <w:t>Davis’ spokesperson, Steve Maviglio, who’s been Davis’ point person attacking suppliers, not only owns Enron stock, but bought Calpine stock a few months ago when the State was 1) negotiating billions of dollars of contracts with Calpine, and 2) in the process of granting permits for Calpine power plants.   During this period, Maviglio consistently made comments to the press regarding Calpine’s superior competitive position and “good corporate citizenry.”  The calls for Maviglio’s resignation are mounting.</w:t>
      </w:r>
    </w:p>
    <w:p>
      <w:pPr>
        <w:pStyle w:val="Normal"/>
        <w:numPr>
          <w:ilvl w:val="0"/>
          <w:numId w:val="2"/>
        </w:numPr>
        <w:tabs>
          <w:tab w:val="clear" w:pos="720"/>
        </w:tabs>
        <w:ind w:hanging="360" w:start="720" w:end="0"/>
        <w:rPr>
          <w:sz w:val="20"/>
        </w:rPr>
      </w:pPr>
      <w:r>
        <w:rPr>
          <w:sz w:val="20"/>
        </w:rPr>
        <w:t>Maviglio has sold the Calpine stock and is “seeking advice” about whether he is required to sell the Enron stock.</w:t>
      </w:r>
    </w:p>
    <w:p>
      <w:pPr>
        <w:pStyle w:val="Normal"/>
        <w:numPr>
          <w:ilvl w:val="0"/>
          <w:numId w:val="2"/>
        </w:numPr>
        <w:tabs>
          <w:tab w:val="clear" w:pos="720"/>
        </w:tabs>
        <w:ind w:hanging="360" w:start="720" w:end="0"/>
        <w:rPr>
          <w:sz w:val="20"/>
        </w:rPr>
      </w:pPr>
      <w:r>
        <w:rPr>
          <w:sz w:val="20"/>
        </w:rPr>
        <w:t>A Davis-appointed member of the Energy Commission (responsible for approving power permits), Bill Keese, owns more than one-half million dollars of energy company stocks.  Keese denies any wrongdoing.</w:t>
      </w:r>
    </w:p>
    <w:p>
      <w:pPr>
        <w:pStyle w:val="Normal"/>
        <w:numPr>
          <w:ilvl w:val="0"/>
          <w:numId w:val="2"/>
        </w:numPr>
        <w:tabs>
          <w:tab w:val="clear" w:pos="720"/>
        </w:tabs>
        <w:ind w:hanging="360" w:start="720" w:end="0"/>
        <w:rPr>
          <w:sz w:val="20"/>
        </w:rPr>
      </w:pPr>
      <w:r>
        <w:rPr>
          <w:sz w:val="20"/>
        </w:rPr>
        <w:t>A Davis-appointed member of the Electricity Oversight Board, Bruce Willison (also Dean of UCLA’s business-school), owns somewhere between $100,000 and $1 million of Enron stock. He denies any wrongdoing.</w:t>
      </w:r>
    </w:p>
    <w:p>
      <w:pPr>
        <w:pStyle w:val="Normal"/>
        <w:numPr>
          <w:ilvl w:val="0"/>
          <w:numId w:val="2"/>
        </w:numPr>
        <w:tabs>
          <w:tab w:val="clear" w:pos="720"/>
        </w:tabs>
        <w:ind w:hanging="360" w:start="720" w:end="0"/>
        <w:rPr/>
      </w:pPr>
      <w:r>
        <w:rPr>
          <w:sz w:val="20"/>
        </w:rPr>
        <w:t>The SEC has begun an investigation into possible insider trading; the Republicans in the Legislature are calling for investigative hearings; and the editorial pages are writing tough editorials criticizing the Davis administration for an apparent disregard for ethical standards.</w:t>
      </w:r>
    </w:p>
    <w:p>
      <w:pPr>
        <w:pStyle w:val="Normal"/>
        <w:numPr>
          <w:ilvl w:val="0"/>
          <w:numId w:val="2"/>
        </w:numPr>
        <w:tabs>
          <w:tab w:val="clear" w:pos="720"/>
        </w:tabs>
        <w:ind w:hanging="360" w:start="720" w:end="0"/>
        <w:rPr/>
      </w:pPr>
      <w:r>
        <w:rPr>
          <w:sz w:val="20"/>
        </w:rPr>
        <w:t>It was also revealed that Democratic Senator leader John Burton holds stock in both El Paso and Williams.  Burton said that he will sell the stock immediately.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72"/>
        </w:tabs>
        <w:ind w:start="1872" w:hanging="432"/>
      </w:pPr>
      <w:rPr>
        <w:rFonts w:ascii="Wingdings" w:hAnsi="Wingdings" w:cs="Wingdings" w:hint="default"/>
      </w:rPr>
    </w:lvl>
  </w:abstractNum>
  <w:abstractNum w:abstractNumId="3">
    <w:lvl w:ilvl="0">
      <w:start w:val="1"/>
      <w:numFmt w:val="bullet"/>
      <w:lvlText w:val=""/>
      <w:lvlJc w:val="start"/>
      <w:pPr>
        <w:tabs>
          <w:tab w:val="num" w:pos="1800"/>
        </w:tabs>
        <w:ind w:start="180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1872"/>
        </w:tabs>
        <w:ind w:start="1872" w:hanging="432"/>
      </w:pPr>
      <w:rPr>
        <w:rFonts w:ascii="Wingdings" w:hAnsi="Wingdings" w:cs="Wingdings" w:hint="default"/>
      </w:rPr>
    </w:lvl>
  </w:abstractNum>
  <w:abstractNum w:abstractNumId="5">
    <w:lvl w:ilvl="0">
      <w:start w:val="1"/>
      <w:numFmt w:val="bullet"/>
      <w:lvlText w:val=""/>
      <w:lvlJc w:val="start"/>
      <w:pPr>
        <w:tabs>
          <w:tab w:val="num" w:pos="1800"/>
        </w:tabs>
        <w:ind w:start="1800" w:hanging="360"/>
      </w:pPr>
      <w:rPr>
        <w:rFonts w:ascii="Wingdings" w:hAnsi="Wingdings" w:cs="Wingdings" w:hint="default"/>
      </w:rPr>
    </w:lvl>
    <w:lvl w:ilvl="1">
      <w:start w:val="0"/>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1800"/>
        </w:tabs>
        <w:ind w:start="1800" w:hanging="360"/>
      </w:pPr>
      <w:rPr>
        <w:rFonts w:ascii="Wingdings" w:hAnsi="Wingdings" w:cs="Wingdings" w:hint="default"/>
      </w:rPr>
    </w:lvl>
  </w:abstractNum>
  <w:abstractNum w:abstractNumId="7">
    <w:lvl w:ilvl="0">
      <w:start w:val="1"/>
      <w:numFmt w:val="bullet"/>
      <w:lvlText w:val=""/>
      <w:lvlJc w:val="start"/>
      <w:pPr>
        <w:tabs>
          <w:tab w:val="num" w:pos="1800"/>
        </w:tabs>
        <w:ind w:start="1800" w:hanging="360"/>
      </w:pPr>
      <w:rPr>
        <w:rFonts w:ascii="Wingdings" w:hAnsi="Wingdings" w:cs="Wingdings" w:hint="default"/>
      </w:rPr>
    </w:lvl>
    <w:lvl w:ilvl="1">
      <w:start w:val="0"/>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outlineLvl w:val="1"/>
    </w:pPr>
    <w:rPr>
      <w:b/>
      <w:bCs/>
      <w:i/>
      <w:iCs/>
      <w:sz w:val="20"/>
    </w:rPr>
  </w:style>
  <w:style w:type="paragraph" w:styleId="Heading3">
    <w:name w:val="heading 3"/>
    <w:basedOn w:val="Normal"/>
    <w:next w:val="Normal"/>
    <w:qFormat/>
    <w:pPr>
      <w:keepNext w:val="true"/>
      <w:numPr>
        <w:ilvl w:val="2"/>
        <w:numId w:val="1"/>
      </w:numPr>
      <w:outlineLvl w:val="2"/>
    </w:pPr>
    <w:rPr>
      <w:b/>
      <w:bCs/>
      <w:sz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Wingdings" w:hAnsi="Wingdings" w:eastAsia="Times New Roman" w:cs="Times New Roman"/>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Wingdings" w:hAnsi="Wingdings" w:eastAsia="Times New Roman" w:cs="Times New Roman"/>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smallCap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i/>
      <w:iCs/>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2001-08-07T19:13:00Z</dcterms:created>
  <dc:creator>jdasovic</dc:creator>
  <dc:description/>
  <dc:language>en-CA</dc:language>
  <cp:lastModifiedBy>skean</cp:lastModifiedBy>
  <cp:lastPrinted>2001-08-07T13:13:00Z</cp:lastPrinted>
  <dcterms:modified xsi:type="dcterms:W3CDTF">2001-08-08T15:08:00Z</dcterms:modified>
  <cp:revision>7</cp:revision>
  <dc:subject/>
  <dc:title>CALIFORNIA UPDATE—08</dc:title>
</cp:coreProperties>
</file>