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Update – January 13, 2001</w:t>
      </w:r>
    </w:p>
    <w:p>
      <w:pPr>
        <w:pStyle w:val="Normal"/>
        <w:spacing w:lineRule="auto" w:line="360"/>
        <w:rPr>
          <w:b/>
          <w:bCs/>
        </w:rPr>
      </w:pPr>
      <w:r>
        <w:rPr>
          <w:b/>
          <w:bCs/>
        </w:rPr>
      </w:r>
    </w:p>
    <w:p>
      <w:pPr>
        <w:pStyle w:val="Normal"/>
        <w:spacing w:lineRule="auto" w:line="360"/>
        <w:rPr>
          <w:b/>
          <w:bCs/>
        </w:rPr>
      </w:pPr>
      <w:r>
        <w:rPr>
          <w:b/>
          <w:bCs/>
        </w:rPr>
        <w:t>Highlights:</w:t>
      </w:r>
    </w:p>
    <w:p>
      <w:pPr>
        <w:pStyle w:val="Normal"/>
        <w:numPr>
          <w:ilvl w:val="0"/>
          <w:numId w:val="2"/>
        </w:numPr>
        <w:spacing w:lineRule="auto" w:line="360"/>
        <w:rPr>
          <w:b/>
          <w:bCs/>
        </w:rPr>
      </w:pPr>
      <w:r>
        <w:rPr/>
        <w:t>No definitive agreement was reached.</w:t>
      </w:r>
    </w:p>
    <w:p>
      <w:pPr>
        <w:pStyle w:val="Normal"/>
        <w:numPr>
          <w:ilvl w:val="0"/>
          <w:numId w:val="2"/>
        </w:numPr>
        <w:spacing w:lineRule="auto" w:line="360"/>
        <w:rPr>
          <w:b/>
          <w:bCs/>
        </w:rPr>
      </w:pPr>
      <w:r>
        <w:rPr/>
        <w:t>Davis and the utilities got a serious reality check on the pricing for filling the utilities’ net short position and the ability of the auction process to yield sufficient quantities of long-term power.</w:t>
      </w:r>
    </w:p>
    <w:p>
      <w:pPr>
        <w:pStyle w:val="Normal"/>
        <w:numPr>
          <w:ilvl w:val="0"/>
          <w:numId w:val="2"/>
        </w:numPr>
        <w:spacing w:lineRule="auto" w:line="360"/>
        <w:rPr>
          <w:b/>
          <w:bCs/>
        </w:rPr>
      </w:pPr>
      <w:r>
        <w:rPr/>
        <w:t>Officials expressed willingness to push legislation through that would expand the state’s role in purchasing power on behalf of the utilities, but they have yet to digest the magnitude of this commitment and have not outlined the extent to which they would take over utility purchases.  The utilities strongly maintained that they needed the state to take over their entire net short position effective Feb 1.</w:t>
      </w:r>
    </w:p>
    <w:p>
      <w:pPr>
        <w:pStyle w:val="Normal"/>
        <w:numPr>
          <w:ilvl w:val="0"/>
          <w:numId w:val="2"/>
        </w:numPr>
        <w:spacing w:lineRule="auto" w:line="360"/>
        <w:rPr>
          <w:b/>
          <w:bCs/>
        </w:rPr>
      </w:pPr>
      <w:r>
        <w:rPr/>
        <w:t>CPUC restructuring of QF payments as a result of this Thursday’s hearing is quite likely.  The CPUC is likely to use its full legal authority (and then some) to get those prices down.</w:t>
      </w:r>
    </w:p>
    <w:p>
      <w:pPr>
        <w:pStyle w:val="Normal"/>
        <w:numPr>
          <w:ilvl w:val="0"/>
          <w:numId w:val="2"/>
        </w:numPr>
        <w:spacing w:lineRule="auto" w:line="360"/>
        <w:rPr>
          <w:b/>
          <w:bCs/>
        </w:rPr>
      </w:pPr>
      <w:r>
        <w:rPr/>
        <w:t>Based on Bryson’s statements, it appears unlikely that SCE will pay its PX bill on Tuesday.</w:t>
      </w:r>
    </w:p>
    <w:p>
      <w:pPr>
        <w:pStyle w:val="Normal"/>
        <w:numPr>
          <w:ilvl w:val="0"/>
          <w:numId w:val="2"/>
        </w:numPr>
        <w:spacing w:lineRule="auto" w:line="360"/>
        <w:rPr>
          <w:b/>
          <w:bCs/>
        </w:rPr>
      </w:pPr>
      <w:r>
        <w:rPr/>
        <w:t>Work will continue this weekend: 1) the state is engaging in due diligence with the utilities to determine the magnitude of financial support needed, 2) working group efforts on forbearance continue in Washington, and 3) legislation is being drafted to set the state up as a power purchaser, though such legislation could take a week or more to get enacted.  There was no ultimate commitment to forbear (and nowhere near all the creditors were present); the situation was described as day-to-day.</w:t>
      </w:r>
    </w:p>
    <w:p>
      <w:pPr>
        <w:pStyle w:val="Normal"/>
        <w:numPr>
          <w:ilvl w:val="0"/>
          <w:numId w:val="2"/>
        </w:numPr>
        <w:spacing w:lineRule="auto" w:line="360"/>
        <w:rPr>
          <w:b/>
          <w:bCs/>
        </w:rPr>
      </w:pPr>
      <w:r>
        <w:rPr/>
        <w:t xml:space="preserve">While the Washington working group is continuing, apparently some of the work is now focussing on a tariff filing at FERC which would </w:t>
      </w:r>
      <w:r>
        <w:rPr>
          <w:b/>
          <w:bCs/>
          <w:i/>
          <w:iCs/>
        </w:rPr>
        <w:t>require a forbearance – perhaps 5 days.</w:t>
      </w:r>
    </w:p>
    <w:p>
      <w:pPr>
        <w:pStyle w:val="Normal"/>
        <w:spacing w:lineRule="auto" w:line="360"/>
        <w:rPr>
          <w:b/>
          <w:bCs/>
        </w:rPr>
      </w:pPr>
      <w:r>
        <w:rPr>
          <w:b/>
          <w:bCs/>
        </w:rPr>
      </w:r>
    </w:p>
    <w:p>
      <w:pPr>
        <w:pStyle w:val="Normal"/>
        <w:spacing w:lineRule="auto" w:line="360"/>
        <w:rPr>
          <w:b/>
          <w:bCs/>
        </w:rPr>
      </w:pPr>
      <w:r>
        <w:rPr>
          <w:b/>
          <w:bCs/>
        </w:rPr>
        <w:t>Summary:</w:t>
      </w:r>
    </w:p>
    <w:p>
      <w:pPr>
        <w:pStyle w:val="Normal"/>
        <w:numPr>
          <w:ilvl w:val="0"/>
          <w:numId w:val="3"/>
        </w:numPr>
        <w:spacing w:lineRule="auto" w:line="360"/>
        <w:rPr>
          <w:b/>
          <w:bCs/>
        </w:rPr>
      </w:pPr>
      <w:r>
        <w:rPr/>
        <w:t>Attendees included California Officials (Gov. Davis, Senate Minority Leader Brulte, Speaker Hertzberg, Senate Pres. Burton, Assembly Minority Leader Campbell, CPUC Pres. Lynch, Energy Oversight Board Chair Kahn, CPUC Commissioner Stevens, Cal ISO Chair Winters); Federal Officials (Treas Secy Summers, Council of Economic Advisors Chair Sperling, FERC Chair Hoecker, Dep Secy of Energy Glauthier, Deputy Treas Secy Eizenstat); Utility executives (SCE, PG&amp;E, Sempra); Generator executives (Duke, Reliant, Southern, Dynegy, Calpine, Williams, IEP Chair Smutney-Jones); and Enron.</w:t>
      </w:r>
    </w:p>
    <w:p>
      <w:pPr>
        <w:pStyle w:val="Normal"/>
        <w:numPr>
          <w:ilvl w:val="0"/>
          <w:numId w:val="3"/>
        </w:numPr>
        <w:spacing w:lineRule="auto" w:line="360"/>
        <w:rPr>
          <w:b/>
          <w:bCs/>
        </w:rPr>
      </w:pPr>
      <w:r>
        <w:rPr/>
        <w:t>The discussion ended with the California officials outlining the following resolution:</w:t>
      </w:r>
    </w:p>
    <w:p>
      <w:pPr>
        <w:pStyle w:val="Normal"/>
        <w:numPr>
          <w:ilvl w:val="1"/>
          <w:numId w:val="3"/>
        </w:numPr>
        <w:spacing w:lineRule="auto" w:line="360"/>
        <w:rPr>
          <w:b/>
          <w:bCs/>
        </w:rPr>
      </w:pPr>
      <w:r>
        <w:rPr/>
        <w:t>Governor reiterated that he would not raise rates further.</w:t>
      </w:r>
    </w:p>
    <w:p>
      <w:pPr>
        <w:pStyle w:val="Normal"/>
        <w:numPr>
          <w:ilvl w:val="1"/>
          <w:numId w:val="3"/>
        </w:numPr>
        <w:spacing w:lineRule="auto" w:line="360"/>
        <w:rPr>
          <w:b/>
          <w:bCs/>
        </w:rPr>
      </w:pPr>
      <w:r>
        <w:rPr/>
        <w:t>Said that legislation would be introduced immediately to establish the state as purchaser of “significant” amounts of power on behalf of California customers.  Hertzberg committed to drafting and moving legislation out of the Assembly on Tuesday.  Hertzberg offered to make a draft of the legislation available as soon as he has it. Davis said it might take 7-10 days to get the legislation through the Senate.  Davis asked for bids from power generators so that the state could get some idea how much money the state would be spending to fill the utilities’ short position.  The Governor said that he and the other officials were being asked to do something California had not had to do before (i.e. purchase significant power on behalf of utilities).  He said they would move as fast as they could but they needed more due diligence in order to understand the magnitude of the commitment.  In the press conference that followed, though, Davis focused only on the state making long term purchases at “prices substantially lower than current spot prices”.</w:t>
      </w:r>
    </w:p>
    <w:p>
      <w:pPr>
        <w:pStyle w:val="Normal"/>
        <w:numPr>
          <w:ilvl w:val="1"/>
          <w:numId w:val="3"/>
        </w:numPr>
        <w:spacing w:lineRule="auto" w:line="360"/>
        <w:rPr>
          <w:b/>
          <w:bCs/>
        </w:rPr>
      </w:pPr>
      <w:r>
        <w:rPr/>
        <w:t>Vowed to continue discussions “in good faith” regarding the utilities’ ability to securitize their past undercollections (and accrued but unpaid obligations).</w:t>
      </w:r>
    </w:p>
    <w:p>
      <w:pPr>
        <w:pStyle w:val="Normal"/>
        <w:numPr>
          <w:ilvl w:val="1"/>
          <w:numId w:val="3"/>
        </w:numPr>
        <w:spacing w:lineRule="auto" w:line="360"/>
        <w:rPr>
          <w:b/>
          <w:bCs/>
        </w:rPr>
      </w:pPr>
      <w:r>
        <w:rPr/>
        <w:t>Will continue the CPUC’s review of QF contracts with a hearing expected on Thursday.  Though legal barriers to substantial restructuring of these contracts were identified by Lynch, there was a strong impression created that these contracts would be restructured (perhaps by taking renewables off of gas-based pricing and reducing the fuel component of gas fired facilities to a long term gas price rather than a spot price).</w:t>
      </w:r>
    </w:p>
    <w:p>
      <w:pPr>
        <w:pStyle w:val="Normal"/>
        <w:numPr>
          <w:ilvl w:val="0"/>
          <w:numId w:val="3"/>
        </w:numPr>
        <w:spacing w:lineRule="auto" w:line="360"/>
        <w:rPr>
          <w:b/>
          <w:bCs/>
        </w:rPr>
      </w:pPr>
      <w:r>
        <w:rPr/>
        <w:t>The discussions revealed a good deal of pessimism about the utilities’ financial outlook in the absence of substantial state support and pessimism about the likely results of an auction process.  In particular, generators (and Enron) pointed out the following:</w:t>
      </w:r>
    </w:p>
    <w:p>
      <w:pPr>
        <w:pStyle w:val="Normal"/>
        <w:numPr>
          <w:ilvl w:val="1"/>
          <w:numId w:val="3"/>
        </w:numPr>
        <w:spacing w:lineRule="auto" w:line="360"/>
        <w:rPr>
          <w:b/>
          <w:bCs/>
        </w:rPr>
      </w:pPr>
      <w:r>
        <w:rPr/>
        <w:t>The shape of the utilities’ requirements is heavily slanted to peaking requirements.  Reliant suggested that after taking out the baseload component, which will be provided primarily by utility-owned generation, the remaining requirement is about 16% 7X24, 21% 6X16, and 61% “on call capacity” (Reliant’s numbers).</w:t>
      </w:r>
    </w:p>
    <w:p>
      <w:pPr>
        <w:pStyle w:val="Normal"/>
        <w:numPr>
          <w:ilvl w:val="1"/>
          <w:numId w:val="3"/>
        </w:numPr>
        <w:spacing w:lineRule="auto" w:line="360"/>
        <w:rPr>
          <w:b/>
          <w:bCs/>
        </w:rPr>
      </w:pPr>
      <w:r>
        <w:rPr/>
        <w:t>The pricing is well above the governor’s 55/MWH for these components.  The generators argued that $55 power is abundant if you wait until 2004, but today’s prices are more like $65 for 13 years of 7X24 and $75 for 13 years of 6X16 power (Dynegy numbers).</w:t>
      </w:r>
    </w:p>
    <w:p>
      <w:pPr>
        <w:pStyle w:val="Normal"/>
        <w:numPr>
          <w:ilvl w:val="1"/>
          <w:numId w:val="3"/>
        </w:numPr>
        <w:spacing w:lineRule="auto" w:line="360"/>
        <w:rPr>
          <w:b/>
          <w:bCs/>
        </w:rPr>
      </w:pPr>
      <w:r>
        <w:rPr/>
        <w:t>The forward market is not deep enough to allow utilities (or the state) to acquire all of the short position on a long-term basis by Feb 1, or by March 31.</w:t>
      </w:r>
    </w:p>
    <w:p>
      <w:pPr>
        <w:pStyle w:val="Normal"/>
        <w:numPr>
          <w:ilvl w:val="1"/>
          <w:numId w:val="3"/>
        </w:numPr>
        <w:spacing w:lineRule="auto" w:line="360"/>
        <w:rPr>
          <w:b/>
          <w:bCs/>
        </w:rPr>
      </w:pPr>
      <w:r>
        <w:rPr/>
        <w:t>The state needs to aggressively buy down demand, site new generation, and take concrete and credible action along these lines in order to bring down forward prices and add depth to the market.</w:t>
      </w:r>
    </w:p>
    <w:p>
      <w:pPr>
        <w:pStyle w:val="Normal"/>
        <w:numPr>
          <w:ilvl w:val="1"/>
          <w:numId w:val="3"/>
        </w:numPr>
        <w:spacing w:lineRule="auto" w:line="360"/>
        <w:rPr>
          <w:b/>
          <w:bCs/>
        </w:rPr>
      </w:pPr>
      <w:r>
        <w:rPr/>
        <w:t>Even so, there are not enough turbines and construction capability to fill the entire short position of the utilities in the next 2-3 years.</w:t>
      </w:r>
    </w:p>
    <w:p>
      <w:pPr>
        <w:pStyle w:val="Normal"/>
        <w:numPr>
          <w:ilvl w:val="1"/>
          <w:numId w:val="3"/>
        </w:numPr>
        <w:spacing w:lineRule="auto" w:line="360"/>
        <w:rPr>
          <w:b/>
          <w:bCs/>
        </w:rPr>
      </w:pPr>
      <w:r>
        <w:rPr>
          <w:b/>
          <w:bCs/>
          <w:i/>
          <w:iCs/>
        </w:rPr>
        <w:t>In short, a lot of “cold water” was thrown on the utilities’ and the state’s pricing assumptions and long term contracting assumptions</w:t>
      </w:r>
      <w:r>
        <w:rPr/>
        <w:t>.  State officials and the utilities were still digesting this last night and it is not yet clear that the Governor appreciates the magnitude of the problem.  He expressed a good deal of anger and frustration that long term contracting was not going to produce the 50-55/MWH for the entire short position.  He had clearly been counting on this.</w:t>
      </w:r>
    </w:p>
    <w:p>
      <w:pPr>
        <w:pStyle w:val="Normal"/>
        <w:numPr>
          <w:ilvl w:val="0"/>
          <w:numId w:val="3"/>
        </w:numPr>
        <w:spacing w:lineRule="auto" w:line="360"/>
        <w:rPr>
          <w:b/>
          <w:bCs/>
        </w:rPr>
      </w:pPr>
      <w:r>
        <w:rPr/>
        <w:t>Bryson (SCE) outlined a solution with the following major components:</w:t>
      </w:r>
    </w:p>
    <w:p>
      <w:pPr>
        <w:pStyle w:val="Normal"/>
        <w:numPr>
          <w:ilvl w:val="1"/>
          <w:numId w:val="3"/>
        </w:numPr>
        <w:spacing w:lineRule="auto" w:line="360"/>
        <w:rPr>
          <w:b/>
          <w:bCs/>
        </w:rPr>
      </w:pPr>
      <w:r>
        <w:rPr/>
        <w:t>Rededicate utility generation on a cost of service basis.</w:t>
      </w:r>
    </w:p>
    <w:p>
      <w:pPr>
        <w:pStyle w:val="Normal"/>
        <w:numPr>
          <w:ilvl w:val="1"/>
          <w:numId w:val="3"/>
        </w:numPr>
        <w:spacing w:lineRule="auto" w:line="360"/>
        <w:rPr>
          <w:b/>
          <w:bCs/>
        </w:rPr>
      </w:pPr>
      <w:r>
        <w:rPr/>
        <w:t>Restructure QF pricing to reflect long-term gas prices rather than short-term prices.</w:t>
      </w:r>
    </w:p>
    <w:p>
      <w:pPr>
        <w:pStyle w:val="Normal"/>
        <w:numPr>
          <w:ilvl w:val="1"/>
          <w:numId w:val="3"/>
        </w:numPr>
        <w:spacing w:lineRule="auto" w:line="360"/>
        <w:rPr>
          <w:b/>
          <w:bCs/>
        </w:rPr>
      </w:pPr>
      <w:r>
        <w:rPr/>
        <w:t>Dedicate a portion of existing utility rates to the recovery of the utilities’ under collections (i.e. securitze).  Bryson thought that .7/kwh would cover this amount.</w:t>
      </w:r>
    </w:p>
    <w:p>
      <w:pPr>
        <w:pStyle w:val="Normal"/>
        <w:numPr>
          <w:ilvl w:val="1"/>
          <w:numId w:val="3"/>
        </w:numPr>
        <w:spacing w:lineRule="auto" w:line="360"/>
        <w:rPr>
          <w:b/>
          <w:bCs/>
        </w:rPr>
      </w:pPr>
      <w:r>
        <w:rPr/>
        <w:t>State would need to take over, both long and short term, purchases to cover the full net short position of the utilities.  This would have to begin Feb 1.  Bryson said the state may have to act like an “accordion” expanding payments to cover those times when power purchase prices were above the amount that could be collected in rates and contracting when prices turned the other way.  He expressed optimism that the state would not be out any money at the end of the day (but this was before the discussion of generator pricing).</w:t>
      </w:r>
    </w:p>
    <w:p>
      <w:pPr>
        <w:pStyle w:val="Normal"/>
        <w:numPr>
          <w:ilvl w:val="1"/>
          <w:numId w:val="3"/>
        </w:numPr>
        <w:spacing w:lineRule="auto" w:line="360"/>
        <w:rPr>
          <w:b/>
          <w:bCs/>
        </w:rPr>
      </w:pPr>
      <w:r>
        <w:rPr/>
        <w:t>Auction for long-term contracts would have to be complete by Feb 1.</w:t>
      </w:r>
    </w:p>
    <w:p>
      <w:pPr>
        <w:pStyle w:val="Normal"/>
        <w:numPr>
          <w:ilvl w:val="1"/>
          <w:numId w:val="3"/>
        </w:numPr>
        <w:spacing w:lineRule="auto" w:line="360"/>
        <w:rPr>
          <w:b/>
          <w:bCs/>
        </w:rPr>
      </w:pPr>
      <w:r>
        <w:rPr/>
        <w:t>Negotiations would have to be complete by this weekend to obtain forbearance from creditors.</w:t>
      </w:r>
    </w:p>
    <w:p>
      <w:pPr>
        <w:pStyle w:val="Normal"/>
        <w:numPr>
          <w:ilvl w:val="1"/>
          <w:numId w:val="3"/>
        </w:numPr>
        <w:spacing w:lineRule="auto" w:line="360"/>
        <w:rPr>
          <w:b/>
          <w:bCs/>
        </w:rPr>
      </w:pPr>
      <w:r>
        <w:rPr/>
        <w:t xml:space="preserve">Bryson though all of this could be taken care of within existing rates with, under various assumptions, $60-$90/MWH available to help pay for going forward purchases.  </w:t>
      </w:r>
      <w:r>
        <w:rPr>
          <w:b/>
          <w:bCs/>
          <w:i/>
          <w:iCs/>
        </w:rPr>
        <w:t>Bryson’s numbers were all over the place.</w:t>
      </w:r>
    </w:p>
    <w:p>
      <w:pPr>
        <w:pStyle w:val="Normal"/>
        <w:numPr>
          <w:ilvl w:val="1"/>
          <w:numId w:val="3"/>
        </w:numPr>
        <w:spacing w:lineRule="auto" w:line="360"/>
        <w:rPr>
          <w:b/>
          <w:bCs/>
        </w:rPr>
      </w:pPr>
      <w:r>
        <w:rPr/>
        <w:t>PG&amp;E generally agreed with Bryson’s approach but feels that it needs even more state support, because even with securitization of past under recoveries it only has $30/MWH leftover under current rates with which to help pay for power going forward.</w:t>
      </w:r>
    </w:p>
    <w:p>
      <w:pPr>
        <w:pStyle w:val="Normal"/>
        <w:spacing w:lineRule="auto" w:line="360"/>
        <w:ind w:start="1080" w:end="0"/>
        <w:rPr>
          <w:b/>
          <w:bCs/>
        </w:rPr>
      </w:pPr>
      <w:r>
        <w:rPr>
          <w:b/>
          <w:bCs/>
        </w:rPr>
      </w:r>
    </w:p>
    <w:p>
      <w:pPr>
        <w:pStyle w:val="Heading1"/>
        <w:ind w:start="0" w:end="0"/>
        <w:rPr/>
      </w:pPr>
      <w:r>
        <w:rPr/>
        <w:t>Priorities</w:t>
      </w:r>
    </w:p>
    <w:p>
      <w:pPr>
        <w:pStyle w:val="Normal"/>
        <w:numPr>
          <w:ilvl w:val="0"/>
          <w:numId w:val="3"/>
        </w:numPr>
        <w:spacing w:lineRule="auto" w:line="360"/>
        <w:rPr/>
      </w:pPr>
      <w:r>
        <w:rPr/>
        <w:t>Legislation – Hertzberg said we could see drafts.  We need to get our hands on drafts and make sure we are comfortable with the language (McCubbin, Bradford, Tribolet, Eckland).</w:t>
      </w:r>
    </w:p>
    <w:p>
      <w:pPr>
        <w:pStyle w:val="Normal"/>
        <w:numPr>
          <w:ilvl w:val="0"/>
          <w:numId w:val="3"/>
        </w:numPr>
        <w:spacing w:lineRule="auto" w:line="360"/>
        <w:rPr/>
      </w:pPr>
      <w:r>
        <w:rPr/>
        <w:t>Credit – SCE is unlikely to pay PX bill on Tuesday.  PG&amp;E is not going to get a rate increase in the near term.  No one has definitively agreed to forbear (only to watch for progress and treat the situation as “day-to-day”).  And it remains to be seen whether the State will pick up the entire net short for the utilities.  We need to make a call about forbearance and further credit extension (Buy and Bradford).  It appears likely that QFs will take a hit this week, so we should look hard at those exposures, if any, as well.</w:t>
      </w:r>
    </w:p>
    <w:p>
      <w:pPr>
        <w:pStyle w:val="Normal"/>
        <w:numPr>
          <w:ilvl w:val="0"/>
          <w:numId w:val="3"/>
        </w:numPr>
        <w:spacing w:lineRule="auto" w:line="360"/>
        <w:rPr/>
      </w:pPr>
      <w:r>
        <w:rPr/>
        <w:t>We discussed the PX credit issue with Glynn.  While he was not aware of it, his staff clearly was and said they were going to treat it as a disputed item until they saw some resolution to their near term issues.  We stressed that we had been helping PG&amp;E through this difficult time and needed to get paid what we were owed.  Glynn acknowledged that we had a “marker” out there, but he couldn’t deal with it right now.</w:t>
      </w:r>
    </w:p>
    <w:p>
      <w:pPr>
        <w:pStyle w:val="Normal"/>
        <w:numPr>
          <w:ilvl w:val="0"/>
          <w:numId w:val="3"/>
        </w:numPr>
        <w:spacing w:lineRule="auto" w:line="360"/>
        <w:rPr/>
      </w:pPr>
      <w:r>
        <w:rPr/>
        <w:t>Flesh out conservation proposals.  Everyone is still looking for a sharing of the pain.  The utilities were told they would not be kept whole.  Generators were told to step up and offer something.  We outlined a plan to invest heavily in demand side management.  We need to put some more details around this (Leff, Sunde).</w:t>
      </w:r>
    </w:p>
    <w:p>
      <w:pPr>
        <w:pStyle w:val="Normal"/>
        <w:spacing w:lineRule="auto" w:line="360"/>
        <w:ind w:start="360" w:end="0"/>
        <w:rPr>
          <w:b/>
          <w:bCs/>
        </w:rPr>
      </w:pPr>
      <w:r>
        <w:rPr>
          <w:b/>
          <w:bCs/>
        </w:rPr>
      </w:r>
    </w:p>
    <w:p>
      <w:pPr>
        <w:pStyle w:val="Normal"/>
        <w:spacing w:lineRule="auto" w:line="360"/>
        <w:ind w:start="360" w:end="0"/>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Symbol" w:hAnsi="Symbol" w:cs="Symbol"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360"/>
      <w:ind w:hanging="0" w:start="720" w:end="0"/>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5">
    <w:name w:val="WW8Num2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lineRule="auto" w:line="36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2001-01-14T13:41:00Z</dcterms:created>
  <dc:creator>skean</dc:creator>
  <dc:description/>
  <dc:language>en-CA</dc:language>
  <cp:lastModifiedBy>skean</cp:lastModifiedBy>
  <cp:lastPrinted>2001-01-14T12:46:00Z</cp:lastPrinted>
  <dcterms:modified xsi:type="dcterms:W3CDTF">2001-01-14T16:52:00Z</dcterms:modified>
  <cp:revision>4</cp:revision>
  <dc:subject/>
  <dc:title>California Update – January 13, 2001</dc:title>
</cp:coreProperties>
</file>