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California Status Report</w:t>
      </w:r>
    </w:p>
    <w:p>
      <w:pPr>
        <w:pStyle w:val="Normal"/>
        <w:jc w:val="center"/>
        <w:rPr>
          <w:b/>
          <w:bCs/>
        </w:rPr>
      </w:pPr>
      <w:r>
        <w:rPr>
          <w:b/>
          <w:bCs/>
        </w:rPr>
        <w:t>12.12.2000</w:t>
      </w:r>
    </w:p>
    <w:p>
      <w:pPr>
        <w:pStyle w:val="Normal"/>
        <w:jc w:val="center"/>
        <w:rPr>
          <w:b/>
          <w:bCs/>
          <w:sz w:val="22"/>
        </w:rPr>
      </w:pPr>
      <w:r>
        <w:rPr>
          <w:b/>
          <w:bCs/>
          <w:sz w:val="22"/>
        </w:rPr>
      </w:r>
    </w:p>
    <w:p>
      <w:pPr>
        <w:pStyle w:val="Normal"/>
        <w:keepLines/>
        <w:autoSpaceDE w:val="false"/>
        <w:spacing w:lineRule="atLeast" w:line="240"/>
        <w:rPr>
          <w:b/>
          <w:bCs/>
          <w:color w:val="000000"/>
          <w:sz w:val="22"/>
          <w:szCs w:val="20"/>
        </w:rPr>
      </w:pPr>
      <w:r>
        <w:rPr>
          <w:b/>
          <w:bCs/>
          <w:color w:val="000000"/>
          <w:sz w:val="22"/>
          <w:szCs w:val="20"/>
        </w:rPr>
      </w:r>
    </w:p>
    <w:p>
      <w:pPr>
        <w:pStyle w:val="Heading1"/>
        <w:ind w:hanging="0" w:start="0"/>
        <w:rPr/>
      </w:pPr>
      <w:r>
        <w:rPr/>
        <w:t>GOALS</w:t>
      </w:r>
    </w:p>
    <w:p>
      <w:pPr>
        <w:pStyle w:val="Normal"/>
        <w:keepLines/>
        <w:autoSpaceDE w:val="false"/>
        <w:spacing w:lineRule="atLeast" w:line="240"/>
        <w:rPr>
          <w:color w:val="000000"/>
          <w:sz w:val="22"/>
          <w:szCs w:val="20"/>
        </w:rPr>
      </w:pPr>
      <w:r>
        <w:rPr>
          <w:color w:val="000000"/>
          <w:sz w:val="22"/>
          <w:szCs w:val="20"/>
        </w:rPr>
      </w:r>
    </w:p>
    <w:p>
      <w:pPr>
        <w:pStyle w:val="Normal"/>
        <w:keepLines/>
        <w:numPr>
          <w:ilvl w:val="0"/>
          <w:numId w:val="2"/>
        </w:numPr>
        <w:tabs>
          <w:tab w:val="clear" w:pos="720"/>
        </w:tabs>
        <w:autoSpaceDE w:val="false"/>
        <w:spacing w:lineRule="atLeast" w:line="240"/>
        <w:ind w:hanging="288" w:start="360" w:end="0"/>
        <w:rPr>
          <w:b/>
          <w:bCs/>
          <w:color w:val="000000"/>
          <w:sz w:val="22"/>
          <w:szCs w:val="20"/>
        </w:rPr>
      </w:pPr>
      <w:r>
        <w:rPr>
          <w:b/>
          <w:bCs/>
          <w:color w:val="000000"/>
          <w:sz w:val="22"/>
          <w:szCs w:val="20"/>
        </w:rPr>
        <w:t>ENA</w:t>
      </w:r>
    </w:p>
    <w:p>
      <w:pPr>
        <w:pStyle w:val="Normal"/>
        <w:keepLines/>
        <w:numPr>
          <w:ilvl w:val="0"/>
          <w:numId w:val="4"/>
        </w:numPr>
        <w:autoSpaceDE w:val="false"/>
        <w:spacing w:lineRule="atLeast" w:line="240"/>
        <w:rPr>
          <w:color w:val="000000"/>
          <w:sz w:val="22"/>
          <w:szCs w:val="20"/>
        </w:rPr>
      </w:pPr>
      <w:r>
        <w:rPr>
          <w:color w:val="000000"/>
          <w:sz w:val="22"/>
          <w:szCs w:val="20"/>
        </w:rPr>
        <w:t>Prevent refunds</w:t>
      </w:r>
    </w:p>
    <w:p>
      <w:pPr>
        <w:pStyle w:val="Normal"/>
        <w:keepLines/>
        <w:numPr>
          <w:ilvl w:val="0"/>
          <w:numId w:val="4"/>
        </w:numPr>
        <w:autoSpaceDE w:val="false"/>
        <w:spacing w:lineRule="atLeast" w:line="240"/>
        <w:rPr>
          <w:color w:val="000000"/>
          <w:sz w:val="22"/>
          <w:szCs w:val="20"/>
        </w:rPr>
      </w:pPr>
      <w:r>
        <w:rPr>
          <w:color w:val="000000"/>
          <w:sz w:val="22"/>
          <w:szCs w:val="20"/>
        </w:rPr>
        <w:t>End wholesale price caps as soon as possible</w:t>
      </w:r>
    </w:p>
    <w:p>
      <w:pPr>
        <w:pStyle w:val="Normal"/>
        <w:keepLines/>
        <w:numPr>
          <w:ilvl w:val="0"/>
          <w:numId w:val="4"/>
        </w:numPr>
        <w:autoSpaceDE w:val="false"/>
        <w:spacing w:lineRule="atLeast" w:line="240"/>
        <w:rPr>
          <w:color w:val="000000"/>
          <w:sz w:val="22"/>
          <w:szCs w:val="20"/>
        </w:rPr>
      </w:pPr>
      <w:r>
        <w:rPr>
          <w:color w:val="000000"/>
          <w:sz w:val="22"/>
          <w:szCs w:val="20"/>
        </w:rPr>
        <w:t>Make forward contracts foundation of California market</w:t>
      </w:r>
    </w:p>
    <w:p>
      <w:pPr>
        <w:pStyle w:val="Normal"/>
        <w:keepLines/>
        <w:numPr>
          <w:ilvl w:val="0"/>
          <w:numId w:val="4"/>
        </w:numPr>
        <w:autoSpaceDE w:val="false"/>
        <w:spacing w:lineRule="atLeast" w:line="240"/>
        <w:rPr>
          <w:color w:val="000000"/>
          <w:sz w:val="22"/>
          <w:szCs w:val="20"/>
        </w:rPr>
      </w:pPr>
      <w:r>
        <w:rPr>
          <w:color w:val="000000"/>
          <w:sz w:val="22"/>
          <w:szCs w:val="20"/>
        </w:rPr>
        <w:t>Expedite plant siting and certification</w:t>
      </w:r>
    </w:p>
    <w:p>
      <w:pPr>
        <w:pStyle w:val="Normal"/>
        <w:keepLines/>
        <w:autoSpaceDE w:val="false"/>
        <w:spacing w:lineRule="atLeast" w:line="240"/>
        <w:ind w:start="360" w:end="0"/>
        <w:rPr>
          <w:color w:val="000000"/>
          <w:sz w:val="22"/>
          <w:szCs w:val="20"/>
        </w:rPr>
      </w:pPr>
      <w:r>
        <w:rPr>
          <w:color w:val="000000"/>
          <w:sz w:val="22"/>
          <w:szCs w:val="20"/>
        </w:rPr>
      </w:r>
    </w:p>
    <w:p>
      <w:pPr>
        <w:pStyle w:val="Normal"/>
        <w:keepLines/>
        <w:numPr>
          <w:ilvl w:val="0"/>
          <w:numId w:val="2"/>
        </w:numPr>
        <w:tabs>
          <w:tab w:val="clear" w:pos="720"/>
        </w:tabs>
        <w:autoSpaceDE w:val="false"/>
        <w:spacing w:lineRule="atLeast" w:line="240"/>
        <w:ind w:hanging="288" w:start="360" w:end="0"/>
        <w:rPr>
          <w:b/>
          <w:bCs/>
          <w:color w:val="000000"/>
          <w:sz w:val="22"/>
          <w:szCs w:val="20"/>
        </w:rPr>
      </w:pPr>
      <w:r>
        <w:rPr>
          <w:b/>
          <w:bCs/>
          <w:color w:val="000000"/>
          <w:sz w:val="22"/>
          <w:szCs w:val="20"/>
        </w:rPr>
        <w:t>EES</w:t>
      </w:r>
    </w:p>
    <w:p>
      <w:pPr>
        <w:pStyle w:val="Normal"/>
        <w:keepLines/>
        <w:numPr>
          <w:ilvl w:val="1"/>
          <w:numId w:val="2"/>
        </w:numPr>
        <w:tabs>
          <w:tab w:val="clear" w:pos="720"/>
        </w:tabs>
        <w:autoSpaceDE w:val="false"/>
        <w:spacing w:lineRule="atLeast" w:line="240"/>
        <w:ind w:hanging="360" w:start="720" w:end="0"/>
        <w:rPr>
          <w:color w:val="000000"/>
          <w:sz w:val="22"/>
          <w:szCs w:val="20"/>
        </w:rPr>
      </w:pPr>
      <w:r>
        <w:rPr>
          <w:color w:val="000000"/>
          <w:sz w:val="22"/>
          <w:szCs w:val="20"/>
        </w:rPr>
        <w:t>Prevent early or retroactive “CTC roll off”</w:t>
      </w:r>
    </w:p>
    <w:p>
      <w:pPr>
        <w:pStyle w:val="Normal"/>
        <w:keepLines/>
        <w:numPr>
          <w:ilvl w:val="1"/>
          <w:numId w:val="2"/>
        </w:numPr>
        <w:tabs>
          <w:tab w:val="clear" w:pos="720"/>
        </w:tabs>
        <w:autoSpaceDE w:val="false"/>
        <w:spacing w:lineRule="atLeast" w:line="240"/>
        <w:ind w:hanging="360" w:start="720" w:end="0"/>
        <w:rPr>
          <w:color w:val="000000"/>
          <w:sz w:val="22"/>
          <w:szCs w:val="20"/>
        </w:rPr>
      </w:pPr>
      <w:r>
        <w:rPr>
          <w:color w:val="000000"/>
          <w:sz w:val="22"/>
          <w:szCs w:val="20"/>
        </w:rPr>
        <w:t>Maintain the rate freeze through 12.31.01</w:t>
      </w:r>
    </w:p>
    <w:p>
      <w:pPr>
        <w:pStyle w:val="Normal"/>
        <w:numPr>
          <w:ilvl w:val="1"/>
          <w:numId w:val="2"/>
        </w:numPr>
        <w:tabs>
          <w:tab w:val="clear" w:pos="720"/>
        </w:tabs>
        <w:ind w:hanging="360" w:start="720" w:end="0"/>
        <w:rPr>
          <w:sz w:val="22"/>
        </w:rPr>
      </w:pPr>
      <w:r>
        <w:rPr>
          <w:color w:val="000000"/>
          <w:sz w:val="22"/>
          <w:szCs w:val="20"/>
        </w:rPr>
        <w:t xml:space="preserve">Maintain the PX credit framework through 12.31.01 </w:t>
      </w:r>
    </w:p>
    <w:p>
      <w:pPr>
        <w:pStyle w:val="Normal"/>
        <w:ind w:start="360" w:end="0"/>
        <w:rPr>
          <w:sz w:val="22"/>
        </w:rPr>
      </w:pPr>
      <w:r>
        <w:rPr>
          <w:sz w:val="22"/>
        </w:rPr>
      </w:r>
    </w:p>
    <w:p>
      <w:pPr>
        <w:pStyle w:val="Heading2"/>
        <w:ind w:hanging="0" w:start="0"/>
        <w:rPr/>
      </w:pPr>
      <w:r>
        <w:rPr/>
        <w:t>ACTIONS</w:t>
      </w:r>
    </w:p>
    <w:p>
      <w:pPr>
        <w:pStyle w:val="Normal"/>
        <w:rPr>
          <w:sz w:val="22"/>
        </w:rPr>
      </w:pPr>
      <w:r>
        <w:rPr>
          <w:sz w:val="22"/>
        </w:rPr>
      </w:r>
    </w:p>
    <w:p>
      <w:pPr>
        <w:pStyle w:val="Normal"/>
        <w:numPr>
          <w:ilvl w:val="0"/>
          <w:numId w:val="5"/>
        </w:numPr>
        <w:tabs>
          <w:tab w:val="clear" w:pos="720"/>
        </w:tabs>
        <w:ind w:hanging="288" w:start="360" w:end="0"/>
        <w:rPr>
          <w:i/>
          <w:i/>
          <w:iCs/>
          <w:sz w:val="22"/>
        </w:rPr>
      </w:pPr>
      <w:r>
        <w:rPr>
          <w:i/>
          <w:iCs/>
          <w:sz w:val="22"/>
        </w:rPr>
        <w:t>Industry</w:t>
      </w:r>
    </w:p>
    <w:p>
      <w:pPr>
        <w:pStyle w:val="Normal"/>
        <w:keepLines/>
        <w:numPr>
          <w:ilvl w:val="1"/>
          <w:numId w:val="2"/>
        </w:numPr>
        <w:tabs>
          <w:tab w:val="clear" w:pos="720"/>
        </w:tabs>
        <w:autoSpaceDE w:val="false"/>
        <w:spacing w:lineRule="atLeast" w:line="240"/>
        <w:ind w:hanging="360" w:start="720" w:end="0"/>
        <w:rPr>
          <w:color w:val="000000"/>
          <w:sz w:val="22"/>
          <w:szCs w:val="20"/>
        </w:rPr>
      </w:pPr>
      <w:r>
        <w:rPr>
          <w:color w:val="000000"/>
          <w:sz w:val="22"/>
          <w:szCs w:val="20"/>
        </w:rPr>
        <w:t>Part of a working group comprised of representative stakeholders.  Group’s goal is to develop a solution that the industry can support and recommend to the Governor and the Legislature.</w:t>
      </w:r>
    </w:p>
    <w:p>
      <w:pPr>
        <w:pStyle w:val="Normal"/>
        <w:keepLines/>
        <w:numPr>
          <w:ilvl w:val="1"/>
          <w:numId w:val="2"/>
        </w:numPr>
        <w:tabs>
          <w:tab w:val="clear" w:pos="720"/>
        </w:tabs>
        <w:autoSpaceDE w:val="false"/>
        <w:spacing w:lineRule="atLeast" w:line="240"/>
        <w:ind w:hanging="360" w:start="720" w:end="0"/>
        <w:rPr>
          <w:color w:val="000000"/>
          <w:sz w:val="22"/>
          <w:szCs w:val="20"/>
        </w:rPr>
      </w:pPr>
      <w:r>
        <w:rPr>
          <w:color w:val="000000"/>
          <w:sz w:val="22"/>
          <w:szCs w:val="20"/>
        </w:rPr>
        <w:t>With internal team of GA/ENA/EES, develop proposals to submit to the group.</w:t>
      </w:r>
    </w:p>
    <w:p>
      <w:pPr>
        <w:pStyle w:val="Normal"/>
        <w:keepLines/>
        <w:numPr>
          <w:ilvl w:val="1"/>
          <w:numId w:val="2"/>
        </w:numPr>
        <w:tabs>
          <w:tab w:val="clear" w:pos="720"/>
        </w:tabs>
        <w:autoSpaceDE w:val="false"/>
        <w:spacing w:lineRule="atLeast" w:line="240"/>
        <w:ind w:hanging="360" w:start="720" w:end="0"/>
        <w:rPr>
          <w:color w:val="000000"/>
          <w:sz w:val="22"/>
          <w:szCs w:val="20"/>
        </w:rPr>
      </w:pPr>
      <w:r>
        <w:rPr>
          <w:color w:val="000000"/>
          <w:sz w:val="22"/>
          <w:szCs w:val="20"/>
        </w:rPr>
        <w:t>Meetings of the group are underway.</w:t>
      </w:r>
    </w:p>
    <w:p>
      <w:pPr>
        <w:pStyle w:val="Normal"/>
        <w:keepLines/>
        <w:numPr>
          <w:ilvl w:val="1"/>
          <w:numId w:val="2"/>
        </w:numPr>
        <w:tabs>
          <w:tab w:val="clear" w:pos="720"/>
        </w:tabs>
        <w:autoSpaceDE w:val="false"/>
        <w:spacing w:lineRule="atLeast" w:line="240"/>
        <w:ind w:hanging="360" w:start="720" w:end="0"/>
        <w:rPr>
          <w:color w:val="000000"/>
          <w:sz w:val="22"/>
          <w:szCs w:val="20"/>
        </w:rPr>
      </w:pPr>
      <w:r>
        <w:rPr>
          <w:color w:val="000000"/>
          <w:sz w:val="22"/>
          <w:szCs w:val="20"/>
        </w:rPr>
        <w:t>1.15.00 is target date for finalizing proposal and building coalition.</w:t>
      </w:r>
    </w:p>
    <w:p>
      <w:pPr>
        <w:pStyle w:val="Normal"/>
        <w:keepLines/>
        <w:numPr>
          <w:ilvl w:val="1"/>
          <w:numId w:val="2"/>
        </w:numPr>
        <w:tabs>
          <w:tab w:val="clear" w:pos="720"/>
        </w:tabs>
        <w:autoSpaceDE w:val="false"/>
        <w:spacing w:lineRule="atLeast" w:line="240"/>
        <w:ind w:hanging="360" w:start="720" w:end="0"/>
        <w:rPr>
          <w:color w:val="000000"/>
          <w:sz w:val="22"/>
          <w:szCs w:val="20"/>
        </w:rPr>
      </w:pPr>
      <w:r>
        <w:rPr>
          <w:color w:val="000000"/>
          <w:sz w:val="22"/>
          <w:szCs w:val="20"/>
        </w:rPr>
        <w:t>Working group will market draft proposal to broader group of interests with goal of growing a large and diverse coalition.</w:t>
      </w:r>
    </w:p>
    <w:p>
      <w:pPr>
        <w:pStyle w:val="Normal"/>
        <w:keepLines/>
        <w:autoSpaceDE w:val="false"/>
        <w:spacing w:lineRule="atLeast" w:line="240"/>
        <w:ind w:start="360" w:end="0"/>
        <w:rPr>
          <w:color w:val="000000"/>
          <w:sz w:val="22"/>
          <w:szCs w:val="20"/>
        </w:rPr>
      </w:pPr>
      <w:r>
        <w:rPr>
          <w:color w:val="000000"/>
          <w:sz w:val="22"/>
          <w:szCs w:val="20"/>
        </w:rPr>
      </w:r>
    </w:p>
    <w:p>
      <w:pPr>
        <w:pStyle w:val="Normal"/>
        <w:numPr>
          <w:ilvl w:val="0"/>
          <w:numId w:val="5"/>
        </w:numPr>
        <w:tabs>
          <w:tab w:val="clear" w:pos="720"/>
        </w:tabs>
        <w:ind w:hanging="288" w:start="360" w:end="0"/>
        <w:rPr>
          <w:i/>
          <w:i/>
          <w:iCs/>
          <w:sz w:val="22"/>
        </w:rPr>
      </w:pPr>
      <w:r>
        <w:rPr>
          <w:i/>
          <w:iCs/>
          <w:sz w:val="22"/>
        </w:rPr>
        <w:t>Administration</w:t>
      </w:r>
    </w:p>
    <w:p>
      <w:pPr>
        <w:pStyle w:val="Normal"/>
        <w:keepLines/>
        <w:numPr>
          <w:ilvl w:val="1"/>
          <w:numId w:val="2"/>
        </w:numPr>
        <w:tabs>
          <w:tab w:val="clear" w:pos="720"/>
        </w:tabs>
        <w:autoSpaceDE w:val="false"/>
        <w:spacing w:lineRule="atLeast" w:line="240"/>
        <w:ind w:hanging="360" w:start="720" w:end="0"/>
        <w:rPr>
          <w:color w:val="000000"/>
          <w:sz w:val="22"/>
          <w:szCs w:val="20"/>
        </w:rPr>
      </w:pPr>
      <w:r>
        <w:rPr>
          <w:color w:val="000000"/>
          <w:sz w:val="22"/>
          <w:szCs w:val="20"/>
        </w:rPr>
        <w:t>Meet with Governor’s key staff assigned to energy issues.</w:t>
      </w:r>
    </w:p>
    <w:p>
      <w:pPr>
        <w:pStyle w:val="Normal"/>
        <w:keepLines/>
        <w:numPr>
          <w:ilvl w:val="2"/>
          <w:numId w:val="2"/>
        </w:numPr>
        <w:tabs>
          <w:tab w:val="clear" w:pos="720"/>
        </w:tabs>
        <w:autoSpaceDE w:val="false"/>
        <w:spacing w:lineRule="atLeast" w:line="240"/>
        <w:ind w:hanging="360" w:start="1080" w:end="0"/>
        <w:rPr>
          <w:color w:val="000000"/>
          <w:sz w:val="22"/>
          <w:szCs w:val="20"/>
        </w:rPr>
      </w:pPr>
      <w:r>
        <w:rPr>
          <w:color w:val="000000"/>
          <w:sz w:val="22"/>
          <w:szCs w:val="20"/>
        </w:rPr>
        <w:t>Gather information</w:t>
      </w:r>
    </w:p>
    <w:p>
      <w:pPr>
        <w:pStyle w:val="Normal"/>
        <w:keepLines/>
        <w:numPr>
          <w:ilvl w:val="2"/>
          <w:numId w:val="2"/>
        </w:numPr>
        <w:tabs>
          <w:tab w:val="clear" w:pos="720"/>
        </w:tabs>
        <w:autoSpaceDE w:val="false"/>
        <w:spacing w:lineRule="atLeast" w:line="240"/>
        <w:ind w:hanging="360" w:start="1080" w:end="0"/>
        <w:rPr>
          <w:color w:val="000000"/>
          <w:sz w:val="22"/>
          <w:szCs w:val="20"/>
        </w:rPr>
      </w:pPr>
      <w:r>
        <w:rPr>
          <w:color w:val="000000"/>
          <w:sz w:val="22"/>
          <w:szCs w:val="20"/>
        </w:rPr>
        <w:t>Educate/provide expert information</w:t>
      </w:r>
    </w:p>
    <w:p>
      <w:pPr>
        <w:pStyle w:val="Normal"/>
        <w:keepLines/>
        <w:numPr>
          <w:ilvl w:val="2"/>
          <w:numId w:val="2"/>
        </w:numPr>
        <w:tabs>
          <w:tab w:val="clear" w:pos="720"/>
        </w:tabs>
        <w:autoSpaceDE w:val="false"/>
        <w:spacing w:lineRule="atLeast" w:line="240"/>
        <w:ind w:hanging="360" w:start="1080" w:end="0"/>
        <w:rPr>
          <w:color w:val="000000"/>
          <w:sz w:val="22"/>
          <w:szCs w:val="20"/>
        </w:rPr>
      </w:pPr>
      <w:r>
        <w:rPr>
          <w:color w:val="000000"/>
          <w:sz w:val="22"/>
          <w:szCs w:val="20"/>
        </w:rPr>
        <w:t>Advocate Enron’s views and positions</w:t>
      </w:r>
    </w:p>
    <w:p>
      <w:pPr>
        <w:pStyle w:val="Normal"/>
        <w:keepLines/>
        <w:numPr>
          <w:ilvl w:val="2"/>
          <w:numId w:val="2"/>
        </w:numPr>
        <w:tabs>
          <w:tab w:val="clear" w:pos="720"/>
        </w:tabs>
        <w:autoSpaceDE w:val="false"/>
        <w:spacing w:lineRule="atLeast" w:line="240"/>
        <w:ind w:hanging="360" w:start="1080" w:end="0"/>
        <w:rPr>
          <w:color w:val="000000"/>
          <w:sz w:val="22"/>
          <w:szCs w:val="20"/>
        </w:rPr>
      </w:pPr>
      <w:r>
        <w:rPr>
          <w:color w:val="000000"/>
          <w:sz w:val="22"/>
          <w:szCs w:val="20"/>
        </w:rPr>
        <w:t>Help broker solution</w:t>
      </w:r>
    </w:p>
    <w:p>
      <w:pPr>
        <w:pStyle w:val="Normal"/>
        <w:keepLines/>
        <w:autoSpaceDE w:val="false"/>
        <w:spacing w:lineRule="atLeast" w:line="240"/>
        <w:ind w:start="720" w:end="0"/>
        <w:rPr>
          <w:color w:val="000000"/>
          <w:sz w:val="22"/>
          <w:szCs w:val="20"/>
        </w:rPr>
      </w:pPr>
      <w:r>
        <w:rPr>
          <w:color w:val="000000"/>
          <w:sz w:val="22"/>
          <w:szCs w:val="20"/>
        </w:rPr>
      </w:r>
    </w:p>
    <w:p>
      <w:pPr>
        <w:pStyle w:val="Normal"/>
        <w:numPr>
          <w:ilvl w:val="0"/>
          <w:numId w:val="5"/>
        </w:numPr>
        <w:tabs>
          <w:tab w:val="clear" w:pos="720"/>
        </w:tabs>
        <w:ind w:hanging="288" w:start="360" w:end="0"/>
        <w:rPr>
          <w:i/>
          <w:i/>
          <w:iCs/>
          <w:sz w:val="22"/>
        </w:rPr>
      </w:pPr>
      <w:r>
        <w:rPr>
          <w:i/>
          <w:iCs/>
          <w:sz w:val="22"/>
        </w:rPr>
        <w:t>Legislative</w:t>
      </w:r>
    </w:p>
    <w:p>
      <w:pPr>
        <w:pStyle w:val="Normal"/>
        <w:keepLines/>
        <w:numPr>
          <w:ilvl w:val="1"/>
          <w:numId w:val="2"/>
        </w:numPr>
        <w:tabs>
          <w:tab w:val="clear" w:pos="720"/>
        </w:tabs>
        <w:autoSpaceDE w:val="false"/>
        <w:spacing w:lineRule="atLeast" w:line="240"/>
        <w:ind w:hanging="360" w:start="720" w:end="0"/>
        <w:rPr>
          <w:color w:val="000000"/>
          <w:sz w:val="22"/>
          <w:szCs w:val="20"/>
        </w:rPr>
      </w:pPr>
      <w:r>
        <w:rPr>
          <w:color w:val="000000"/>
          <w:sz w:val="22"/>
          <w:szCs w:val="20"/>
        </w:rPr>
        <w:t>Leverage relationships with chairs of utility oversight committees and other key members:</w:t>
      </w:r>
    </w:p>
    <w:p>
      <w:pPr>
        <w:pStyle w:val="Normal"/>
        <w:keepLines/>
        <w:numPr>
          <w:ilvl w:val="2"/>
          <w:numId w:val="2"/>
        </w:numPr>
        <w:tabs>
          <w:tab w:val="clear" w:pos="720"/>
        </w:tabs>
        <w:autoSpaceDE w:val="false"/>
        <w:spacing w:lineRule="atLeast" w:line="240"/>
        <w:ind w:hanging="360" w:start="1080" w:end="0"/>
        <w:rPr>
          <w:color w:val="000000"/>
          <w:sz w:val="22"/>
          <w:szCs w:val="20"/>
        </w:rPr>
      </w:pPr>
      <w:r>
        <w:rPr>
          <w:color w:val="000000"/>
          <w:sz w:val="22"/>
          <w:szCs w:val="20"/>
        </w:rPr>
        <w:t>Gather information</w:t>
      </w:r>
    </w:p>
    <w:p>
      <w:pPr>
        <w:pStyle w:val="Normal"/>
        <w:keepLines/>
        <w:numPr>
          <w:ilvl w:val="2"/>
          <w:numId w:val="2"/>
        </w:numPr>
        <w:tabs>
          <w:tab w:val="clear" w:pos="720"/>
        </w:tabs>
        <w:autoSpaceDE w:val="false"/>
        <w:spacing w:lineRule="atLeast" w:line="240"/>
        <w:ind w:hanging="360" w:start="1080" w:end="0"/>
        <w:rPr>
          <w:color w:val="000000"/>
          <w:sz w:val="22"/>
          <w:szCs w:val="20"/>
        </w:rPr>
      </w:pPr>
      <w:r>
        <w:rPr>
          <w:color w:val="000000"/>
          <w:sz w:val="22"/>
          <w:szCs w:val="20"/>
        </w:rPr>
        <w:t>Educate/provide expert information on legislative proposals</w:t>
      </w:r>
    </w:p>
    <w:p>
      <w:pPr>
        <w:pStyle w:val="Normal"/>
        <w:keepLines/>
        <w:numPr>
          <w:ilvl w:val="2"/>
          <w:numId w:val="2"/>
        </w:numPr>
        <w:tabs>
          <w:tab w:val="clear" w:pos="720"/>
        </w:tabs>
        <w:autoSpaceDE w:val="false"/>
        <w:spacing w:lineRule="atLeast" w:line="240"/>
        <w:ind w:hanging="360" w:start="1080" w:end="0"/>
        <w:rPr>
          <w:color w:val="000000"/>
          <w:sz w:val="22"/>
          <w:szCs w:val="20"/>
        </w:rPr>
      </w:pPr>
      <w:r>
        <w:rPr>
          <w:color w:val="000000"/>
          <w:sz w:val="22"/>
          <w:szCs w:val="20"/>
        </w:rPr>
        <w:t>Advocate Enron’s views and positions</w:t>
      </w:r>
    </w:p>
    <w:p>
      <w:pPr>
        <w:pStyle w:val="Normal"/>
        <w:keepLines/>
        <w:numPr>
          <w:ilvl w:val="2"/>
          <w:numId w:val="2"/>
        </w:numPr>
        <w:tabs>
          <w:tab w:val="clear" w:pos="720"/>
        </w:tabs>
        <w:autoSpaceDE w:val="false"/>
        <w:spacing w:lineRule="atLeast" w:line="240"/>
        <w:ind w:hanging="360" w:start="1080" w:end="0"/>
        <w:rPr>
          <w:color w:val="000000"/>
          <w:sz w:val="22"/>
          <w:szCs w:val="20"/>
        </w:rPr>
      </w:pPr>
      <w:r>
        <w:rPr>
          <w:color w:val="000000"/>
          <w:sz w:val="22"/>
          <w:szCs w:val="20"/>
        </w:rPr>
        <w:t>Help broker solution</w:t>
      </w:r>
    </w:p>
    <w:p>
      <w:pPr>
        <w:pStyle w:val="Normal"/>
        <w:keepLines/>
        <w:numPr>
          <w:ilvl w:val="3"/>
          <w:numId w:val="2"/>
        </w:numPr>
        <w:tabs>
          <w:tab w:val="clear" w:pos="720"/>
        </w:tabs>
        <w:autoSpaceDE w:val="false"/>
        <w:spacing w:lineRule="atLeast" w:line="240"/>
        <w:ind w:hanging="360" w:start="720" w:end="0"/>
        <w:rPr>
          <w:color w:val="000000"/>
          <w:sz w:val="22"/>
          <w:szCs w:val="20"/>
        </w:rPr>
      </w:pPr>
      <w:r>
        <w:rPr>
          <w:color w:val="000000"/>
          <w:sz w:val="22"/>
          <w:szCs w:val="20"/>
        </w:rPr>
        <w:t>(At least 5 bills have thus far been proposed.  Bills address everything from reforming the governing boards, to preapproval of utility forward contracts, to extending the rate freeze, to expanding energy efficiency.  Three of the bills are “emergency bills.”)</w:t>
      </w:r>
    </w:p>
    <w:p>
      <w:pPr>
        <w:pStyle w:val="Normal"/>
        <w:keepLines/>
        <w:autoSpaceDE w:val="false"/>
        <w:spacing w:lineRule="atLeast" w:line="240"/>
        <w:ind w:start="360" w:end="0"/>
        <w:rPr>
          <w:color w:val="000000"/>
          <w:sz w:val="22"/>
          <w:szCs w:val="20"/>
        </w:rPr>
      </w:pPr>
      <w:r>
        <w:rPr>
          <w:color w:val="000000"/>
          <w:sz w:val="22"/>
          <w:szCs w:val="20"/>
        </w:rPr>
      </w:r>
    </w:p>
    <w:p>
      <w:pPr>
        <w:pStyle w:val="Normal"/>
        <w:numPr>
          <w:ilvl w:val="0"/>
          <w:numId w:val="5"/>
        </w:numPr>
        <w:tabs>
          <w:tab w:val="clear" w:pos="720"/>
        </w:tabs>
        <w:ind w:hanging="288" w:start="360" w:end="0"/>
        <w:rPr>
          <w:i/>
          <w:i/>
          <w:iCs/>
          <w:sz w:val="22"/>
        </w:rPr>
      </w:pPr>
      <w:r>
        <w:rPr>
          <w:i/>
          <w:iCs/>
          <w:sz w:val="22"/>
        </w:rPr>
        <w:t>CPUC</w:t>
      </w:r>
    </w:p>
    <w:p>
      <w:pPr>
        <w:pStyle w:val="Normal"/>
        <w:numPr>
          <w:ilvl w:val="0"/>
          <w:numId w:val="6"/>
        </w:numPr>
        <w:rPr>
          <w:i/>
          <w:i/>
          <w:iCs/>
          <w:sz w:val="22"/>
        </w:rPr>
      </w:pPr>
      <w:r>
        <w:rPr>
          <w:sz w:val="22"/>
        </w:rPr>
        <w:t>GA is focused uniquely on and engaged in CPUC cases with a direct effect on the specific goals listed above.</w:t>
      </w:r>
    </w:p>
    <w:p>
      <w:pPr>
        <w:pStyle w:val="Normal"/>
        <w:rPr>
          <w:i/>
          <w:i/>
          <w:iCs/>
          <w:sz w:val="22"/>
        </w:rPr>
      </w:pPr>
      <w:r>
        <w:rPr>
          <w:i/>
          <w:iCs/>
          <w:sz w:val="22"/>
        </w:rPr>
      </w:r>
    </w:p>
    <w:p>
      <w:pPr>
        <w:pStyle w:val="Normal"/>
        <w:rPr>
          <w:sz w:val="22"/>
        </w:rPr>
      </w:pPr>
      <w:r>
        <w:rPr>
          <w:sz w:val="22"/>
        </w:rPr>
      </w:r>
    </w:p>
    <w:p>
      <w:pPr>
        <w:pStyle w:val="Normal"/>
        <w:numPr>
          <w:ilvl w:val="0"/>
          <w:numId w:val="5"/>
        </w:numPr>
        <w:tabs>
          <w:tab w:val="clear" w:pos="720"/>
        </w:tabs>
        <w:ind w:hanging="288" w:start="360" w:end="0"/>
        <w:rPr>
          <w:i/>
          <w:i/>
          <w:iCs/>
          <w:sz w:val="22"/>
        </w:rPr>
      </w:pPr>
      <w:r>
        <w:rPr>
          <w:i/>
          <w:iCs/>
          <w:sz w:val="22"/>
        </w:rPr>
        <w:t>FERC</w:t>
      </w:r>
    </w:p>
    <w:p>
      <w:pPr>
        <w:pStyle w:val="Normal"/>
        <w:keepLines/>
        <w:numPr>
          <w:ilvl w:val="1"/>
          <w:numId w:val="2"/>
        </w:numPr>
        <w:tabs>
          <w:tab w:val="clear" w:pos="720"/>
        </w:tabs>
        <w:autoSpaceDE w:val="false"/>
        <w:spacing w:lineRule="atLeast" w:line="240"/>
        <w:ind w:hanging="360" w:start="720" w:end="0"/>
        <w:rPr>
          <w:color w:val="000000"/>
          <w:sz w:val="22"/>
          <w:szCs w:val="20"/>
        </w:rPr>
      </w:pPr>
      <w:r>
        <w:rPr>
          <w:color w:val="000000"/>
          <w:sz w:val="22"/>
          <w:szCs w:val="20"/>
        </w:rPr>
        <w:t xml:space="preserve">Variety of actions—see weekly report from Steffes to Belden </w:t>
      </w:r>
    </w:p>
    <w:p>
      <w:pPr>
        <w:pStyle w:val="Normal"/>
        <w:keepLines/>
        <w:autoSpaceDE w:val="false"/>
        <w:spacing w:lineRule="atLeast" w:line="240"/>
        <w:ind w:start="360" w:end="0"/>
        <w:rPr>
          <w:color w:val="000000"/>
          <w:sz w:val="22"/>
          <w:szCs w:val="20"/>
        </w:rPr>
      </w:pPr>
      <w:r>
        <w:rPr>
          <w:color w:val="000000"/>
          <w:sz w:val="22"/>
          <w:szCs w:val="20"/>
        </w:rPr>
      </w:r>
    </w:p>
    <w:p>
      <w:pPr>
        <w:pStyle w:val="Normal"/>
        <w:numPr>
          <w:ilvl w:val="0"/>
          <w:numId w:val="5"/>
        </w:numPr>
        <w:tabs>
          <w:tab w:val="clear" w:pos="720"/>
        </w:tabs>
        <w:ind w:hanging="288" w:start="360" w:end="0"/>
        <w:rPr>
          <w:i/>
          <w:i/>
          <w:iCs/>
          <w:sz w:val="22"/>
        </w:rPr>
      </w:pPr>
      <w:r>
        <w:rPr>
          <w:i/>
          <w:iCs/>
          <w:sz w:val="22"/>
        </w:rPr>
        <w:t>Media</w:t>
      </w:r>
    </w:p>
    <w:p>
      <w:pPr>
        <w:pStyle w:val="Normal"/>
        <w:numPr>
          <w:ilvl w:val="0"/>
          <w:numId w:val="3"/>
        </w:numPr>
        <w:autoSpaceDE w:val="false"/>
        <w:spacing w:lineRule="atLeast" w:line="240"/>
        <w:rPr>
          <w:color w:val="000000"/>
          <w:sz w:val="22"/>
          <w:szCs w:val="20"/>
        </w:rPr>
      </w:pPr>
      <w:r>
        <w:rPr>
          <w:color w:val="000000"/>
          <w:sz w:val="22"/>
          <w:szCs w:val="20"/>
        </w:rPr>
        <w:t xml:space="preserve">Work with Marathon to develop a PR strategy for December and 1Q01.  </w:t>
      </w:r>
    </w:p>
    <w:p>
      <w:pPr>
        <w:pStyle w:val="Normal"/>
        <w:numPr>
          <w:ilvl w:val="0"/>
          <w:numId w:val="3"/>
        </w:numPr>
        <w:autoSpaceDE w:val="false"/>
        <w:spacing w:lineRule="atLeast" w:line="240"/>
        <w:rPr>
          <w:color w:val="000000"/>
          <w:sz w:val="22"/>
          <w:szCs w:val="20"/>
        </w:rPr>
      </w:pPr>
      <w:r>
        <w:rPr>
          <w:color w:val="000000"/>
          <w:sz w:val="22"/>
          <w:szCs w:val="20"/>
        </w:rPr>
        <w:t>Circulate draft strategy for team’s review and comment during week of 12.11.</w:t>
      </w:r>
    </w:p>
    <w:p>
      <w:pPr>
        <w:pStyle w:val="Normal"/>
        <w:keepLines/>
        <w:numPr>
          <w:ilvl w:val="1"/>
          <w:numId w:val="2"/>
        </w:numPr>
        <w:tabs>
          <w:tab w:val="clear" w:pos="720"/>
        </w:tabs>
        <w:autoSpaceDE w:val="false"/>
        <w:spacing w:lineRule="atLeast" w:line="240"/>
        <w:ind w:hanging="360" w:start="720" w:end="0"/>
        <w:rPr>
          <w:color w:val="000000"/>
          <w:sz w:val="22"/>
          <w:szCs w:val="20"/>
        </w:rPr>
      </w:pPr>
      <w:r>
        <w:rPr>
          <w:color w:val="000000"/>
          <w:sz w:val="22"/>
          <w:szCs w:val="20"/>
        </w:rPr>
        <w:t>Actively engage local, state and national press on issues affecting California</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648" w:hanging="288"/>
      </w:pPr>
      <w:rPr>
        <w:rFonts w:ascii="Wingdings" w:hAnsi="Wingdings" w:cs="Wingdings" w:hint="default"/>
      </w:rPr>
    </w:lvl>
    <w:lvl w:ilvl="1">
      <w:start w:val="1"/>
      <w:numFmt w:val="bullet"/>
      <w:lvlText w:val=""/>
      <w:lvlJc w:val="start"/>
      <w:pPr>
        <w:tabs>
          <w:tab w:val="num" w:pos="1800"/>
        </w:tabs>
        <w:ind w:start="1800" w:hanging="360"/>
      </w:pPr>
      <w:rPr>
        <w:rFonts w:ascii="Wingdings" w:hAnsi="Wingdings" w:cs="Wingdings"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Wingdings" w:hAnsi="Wingdings" w:cs="Wingdings"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abstractNum>
  <w:abstractNum w:abstractNumId="5">
    <w:lvl w:ilvl="0">
      <w:start w:val="1"/>
      <w:numFmt w:val="bullet"/>
      <w:lvlText w:val=""/>
      <w:lvlJc w:val="start"/>
      <w:pPr>
        <w:tabs>
          <w:tab w:val="num" w:pos="720"/>
        </w:tabs>
        <w:ind w:start="648" w:hanging="288"/>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keepLines/>
      <w:numPr>
        <w:ilvl w:val="0"/>
        <w:numId w:val="1"/>
      </w:numPr>
      <w:autoSpaceDE w:val="false"/>
      <w:spacing w:lineRule="atLeast" w:line="240"/>
      <w:outlineLvl w:val="0"/>
    </w:pPr>
    <w:rPr>
      <w:b/>
      <w:bCs/>
      <w:i/>
      <w:iCs/>
      <w:color w:val="000000"/>
      <w:sz w:val="22"/>
      <w:szCs w:val="20"/>
    </w:rPr>
  </w:style>
  <w:style w:type="paragraph" w:styleId="Heading2">
    <w:name w:val="heading 2"/>
    <w:basedOn w:val="Normal"/>
    <w:next w:val="Normal"/>
    <w:qFormat/>
    <w:pPr>
      <w:keepNext w:val="true"/>
      <w:numPr>
        <w:ilvl w:val="1"/>
        <w:numId w:val="1"/>
      </w:numPr>
      <w:outlineLvl w:val="1"/>
    </w:pPr>
    <w:rPr>
      <w:b/>
      <w:bCs/>
      <w:i/>
      <w:iCs/>
      <w:sz w:val="22"/>
    </w:rPr>
  </w:style>
  <w:style w:type="character" w:styleId="WW8Num1z0">
    <w:name w:val="WW8Num1z0"/>
    <w:qFormat/>
    <w:rPr>
      <w:rFonts w:ascii="Wingdings" w:hAnsi="Wingdings" w:cs="Wingdings"/>
    </w:rPr>
  </w:style>
  <w:style w:type="character" w:styleId="WW8Num1z4">
    <w:name w:val="WW8Num1z4"/>
    <w:qFormat/>
    <w:rPr>
      <w:rFonts w:ascii="Courier New" w:hAnsi="Courier New" w:cs="Courier New"/>
    </w:rPr>
  </w:style>
  <w:style w:type="character" w:styleId="WW8Num1z6">
    <w:name w:val="WW8Num1z6"/>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2000-12-12T22:28:00Z</dcterms:created>
  <dc:creator>jdasovic</dc:creator>
  <dc:description/>
  <dc:language>en-CA</dc:language>
  <cp:lastModifiedBy>jdasovic</cp:lastModifiedBy>
  <cp:lastPrinted>2000-12-12T16:53:00Z</cp:lastPrinted>
  <dcterms:modified xsi:type="dcterms:W3CDTF">2000-12-12T22:28:00Z</dcterms:modified>
  <cp:revision>2</cp:revision>
  <dc:subject/>
  <dc:title>California Status Report</dc:title>
</cp:coreProperties>
</file>