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mallCaps/>
          <w:sz w:val="20"/>
        </w:rPr>
      </w:pPr>
      <w:r>
        <w:rPr>
          <w:b/>
          <w:bCs/>
          <w:smallCaps/>
          <w:sz w:val="20"/>
        </w:rPr>
        <w:t xml:space="preserve">The Situation in California since the final meetings </w:t>
      </w:r>
    </w:p>
    <w:p>
      <w:pPr>
        <w:pStyle w:val="Normal"/>
        <w:jc w:val="center"/>
        <w:rPr>
          <w:sz w:val="20"/>
          <w:vertAlign w:val="superscript"/>
        </w:rPr>
      </w:pPr>
      <w:r>
        <w:rPr>
          <w:b/>
          <w:bCs/>
          <w:smallCaps/>
          <w:sz w:val="20"/>
        </w:rPr>
        <w:t>with legislators on Monday, May 7</w:t>
      </w:r>
      <w:r>
        <w:rPr>
          <w:b/>
          <w:bCs/>
          <w:smallCaps/>
          <w:sz w:val="20"/>
          <w:vertAlign w:val="superscript"/>
        </w:rPr>
        <w:t>th</w:t>
      </w:r>
    </w:p>
    <w:p>
      <w:pPr>
        <w:pStyle w:val="Normal"/>
        <w:rPr>
          <w:sz w:val="20"/>
          <w:vertAlign w:val="superscript"/>
        </w:rPr>
      </w:pPr>
      <w:r>
        <w:rPr>
          <w:sz w:val="20"/>
          <w:vertAlign w:val="superscript"/>
        </w:rPr>
      </w:r>
    </w:p>
    <w:p>
      <w:pPr>
        <w:pStyle w:val="Normal"/>
        <w:numPr>
          <w:ilvl w:val="0"/>
          <w:numId w:val="2"/>
        </w:numPr>
        <w:rPr>
          <w:i/>
          <w:i/>
          <w:iCs/>
          <w:sz w:val="20"/>
        </w:rPr>
      </w:pPr>
      <w:r>
        <w:rPr>
          <w:i/>
          <w:iCs/>
          <w:sz w:val="20"/>
        </w:rPr>
        <w:t>The Governor held his meeting with the generators and marketers, including the utilities’ unregulated affiliates.</w:t>
      </w:r>
    </w:p>
    <w:p>
      <w:pPr>
        <w:pStyle w:val="Normal"/>
        <w:numPr>
          <w:ilvl w:val="1"/>
          <w:numId w:val="3"/>
        </w:numPr>
        <w:tabs>
          <w:tab w:val="clear" w:pos="720"/>
        </w:tabs>
        <w:ind w:hanging="360" w:start="720" w:end="0"/>
        <w:rPr>
          <w:sz w:val="20"/>
        </w:rPr>
      </w:pPr>
      <w:r>
        <w:rPr>
          <w:sz w:val="20"/>
        </w:rPr>
        <w:t>The Governor stayed for the duration of the meeting and was engaged</w:t>
      </w:r>
    </w:p>
    <w:p>
      <w:pPr>
        <w:pStyle w:val="Normal"/>
        <w:numPr>
          <w:ilvl w:val="1"/>
          <w:numId w:val="3"/>
        </w:numPr>
        <w:tabs>
          <w:tab w:val="clear" w:pos="720"/>
        </w:tabs>
        <w:ind w:hanging="360" w:start="720" w:end="0"/>
        <w:rPr>
          <w:sz w:val="20"/>
        </w:rPr>
      </w:pPr>
      <w:r>
        <w:rPr>
          <w:sz w:val="20"/>
        </w:rPr>
        <w:t>He said that the MOU was the basis of any deal, which included the transmission sale</w:t>
      </w:r>
    </w:p>
    <w:p>
      <w:pPr>
        <w:pStyle w:val="Normal"/>
        <w:numPr>
          <w:ilvl w:val="1"/>
          <w:numId w:val="3"/>
        </w:numPr>
        <w:tabs>
          <w:tab w:val="clear" w:pos="720"/>
        </w:tabs>
        <w:ind w:hanging="360" w:start="720" w:end="0"/>
        <w:rPr>
          <w:sz w:val="20"/>
        </w:rPr>
      </w:pPr>
      <w:r>
        <w:rPr>
          <w:sz w:val="20"/>
        </w:rPr>
        <w:t>In the same breath, however, he acknowledged that the MOU would have to change in ways acceptable to the Legislature</w:t>
      </w:r>
    </w:p>
    <w:p>
      <w:pPr>
        <w:pStyle w:val="Normal"/>
        <w:numPr>
          <w:ilvl w:val="1"/>
          <w:numId w:val="3"/>
        </w:numPr>
        <w:tabs>
          <w:tab w:val="clear" w:pos="720"/>
        </w:tabs>
        <w:ind w:hanging="360" w:start="720" w:end="0"/>
        <w:rPr>
          <w:sz w:val="20"/>
        </w:rPr>
      </w:pPr>
      <w:r>
        <w:rPr>
          <w:sz w:val="20"/>
        </w:rPr>
        <w:t>He told the suppliers (in the meeting and after the meeting at a press conference) that he expected a 30% haircut, i.e., 70 cents on the dollar</w:t>
      </w:r>
    </w:p>
    <w:p>
      <w:pPr>
        <w:pStyle w:val="Normal"/>
        <w:numPr>
          <w:ilvl w:val="1"/>
          <w:numId w:val="3"/>
        </w:numPr>
        <w:tabs>
          <w:tab w:val="clear" w:pos="720"/>
        </w:tabs>
        <w:ind w:hanging="360" w:start="720" w:end="0"/>
        <w:rPr>
          <w:sz w:val="20"/>
        </w:rPr>
      </w:pPr>
      <w:r>
        <w:rPr>
          <w:sz w:val="20"/>
        </w:rPr>
        <w:t>According to Burton, the Governor was going to open with 20% and changed to 30% when Burton went to the floor of the Senate prior to the generator meeting on Wednesday and declared that the haircut had to be 30%</w:t>
      </w:r>
    </w:p>
    <w:p>
      <w:pPr>
        <w:pStyle w:val="Normal"/>
        <w:numPr>
          <w:ilvl w:val="1"/>
          <w:numId w:val="3"/>
        </w:numPr>
        <w:tabs>
          <w:tab w:val="clear" w:pos="720"/>
        </w:tabs>
        <w:ind w:hanging="360" w:start="720" w:end="0"/>
        <w:rPr>
          <w:sz w:val="20"/>
        </w:rPr>
      </w:pPr>
      <w:r>
        <w:rPr>
          <w:sz w:val="20"/>
        </w:rPr>
        <w:t>The Governor said that eliminating the lawsuits was not on the table.</w:t>
      </w:r>
    </w:p>
    <w:p>
      <w:pPr>
        <w:pStyle w:val="Normal"/>
        <w:numPr>
          <w:ilvl w:val="1"/>
          <w:numId w:val="3"/>
        </w:numPr>
        <w:tabs>
          <w:tab w:val="clear" w:pos="720"/>
        </w:tabs>
        <w:ind w:hanging="360" w:start="720" w:end="0"/>
        <w:rPr>
          <w:sz w:val="20"/>
        </w:rPr>
      </w:pPr>
      <w:r>
        <w:rPr>
          <w:sz w:val="20"/>
        </w:rPr>
        <w:t>He acknowledged (more than once in the meeting) that Direct Access needed to be part of any deal</w:t>
      </w:r>
    </w:p>
    <w:p>
      <w:pPr>
        <w:pStyle w:val="Normal"/>
        <w:numPr>
          <w:ilvl w:val="1"/>
          <w:numId w:val="3"/>
        </w:numPr>
        <w:tabs>
          <w:tab w:val="clear" w:pos="720"/>
        </w:tabs>
        <w:ind w:hanging="360" w:start="720" w:end="0"/>
        <w:rPr>
          <w:sz w:val="20"/>
        </w:rPr>
      </w:pPr>
      <w:r>
        <w:rPr>
          <w:sz w:val="20"/>
        </w:rPr>
        <w:t>He urged the group to use its network to grow legislative support for the MOU</w:t>
      </w:r>
    </w:p>
    <w:p>
      <w:pPr>
        <w:pStyle w:val="Normal"/>
        <w:numPr>
          <w:ilvl w:val="1"/>
          <w:numId w:val="3"/>
        </w:numPr>
        <w:tabs>
          <w:tab w:val="clear" w:pos="720"/>
        </w:tabs>
        <w:ind w:hanging="360" w:start="720" w:end="0"/>
        <w:rPr>
          <w:sz w:val="20"/>
        </w:rPr>
      </w:pPr>
      <w:r>
        <w:rPr>
          <w:sz w:val="20"/>
        </w:rPr>
        <w:t>At Enron’s urging, he agreed to meet regularly until a comprehensive agreement is reached.</w:t>
      </w:r>
    </w:p>
    <w:p>
      <w:pPr>
        <w:pStyle w:val="Normal"/>
        <w:numPr>
          <w:ilvl w:val="1"/>
          <w:numId w:val="3"/>
        </w:numPr>
        <w:tabs>
          <w:tab w:val="clear" w:pos="720"/>
        </w:tabs>
        <w:ind w:hanging="360" w:start="720" w:end="0"/>
        <w:rPr>
          <w:sz w:val="20"/>
        </w:rPr>
      </w:pPr>
      <w:r>
        <w:rPr>
          <w:sz w:val="20"/>
        </w:rPr>
        <w:t>He continued his rhetoric about the investigations into price gouging at a press conference following the meeting, i.e., the investigations will continue to be vigorously pursued</w:t>
      </w:r>
    </w:p>
    <w:p>
      <w:pPr>
        <w:pStyle w:val="Normal"/>
        <w:numPr>
          <w:ilvl w:val="1"/>
          <w:numId w:val="3"/>
        </w:numPr>
        <w:tabs>
          <w:tab w:val="clear" w:pos="720"/>
        </w:tabs>
        <w:ind w:hanging="360" w:start="720" w:end="0"/>
        <w:rPr>
          <w:sz w:val="20"/>
        </w:rPr>
      </w:pPr>
      <w:r>
        <w:rPr>
          <w:sz w:val="20"/>
        </w:rPr>
        <w:t>Reliant has been the most aggressive in its response to the Governor’s proposed level of haircut, stating publicly (and at a press conference) that a 30% haircut is an unacceptable starting point and wouldn’t even cover generation costs</w:t>
      </w:r>
    </w:p>
    <w:p>
      <w:pPr>
        <w:pStyle w:val="Normal"/>
        <w:numPr>
          <w:ilvl w:val="0"/>
          <w:numId w:val="2"/>
        </w:numPr>
        <w:rPr>
          <w:i/>
          <w:i/>
          <w:iCs/>
          <w:sz w:val="20"/>
        </w:rPr>
      </w:pPr>
      <w:r>
        <w:rPr>
          <w:i/>
          <w:iCs/>
          <w:sz w:val="20"/>
        </w:rPr>
        <w:t>Follow-up meetings between suppliers and the Governor’s staff subsequent to the Governor’s meeting.</w:t>
      </w:r>
    </w:p>
    <w:p>
      <w:pPr>
        <w:pStyle w:val="Normal"/>
        <w:numPr>
          <w:ilvl w:val="1"/>
          <w:numId w:val="3"/>
        </w:numPr>
        <w:tabs>
          <w:tab w:val="clear" w:pos="720"/>
        </w:tabs>
        <w:ind w:hanging="360" w:start="720" w:end="0"/>
        <w:rPr>
          <w:sz w:val="20"/>
        </w:rPr>
      </w:pPr>
      <w:r>
        <w:rPr>
          <w:sz w:val="20"/>
        </w:rPr>
        <w:t>The first follow-up meeting included several people from the Governor’s staff and suppliers (but not all suppliers, e.g., BPA, LADWP, BC Hydro, out-of-state utilities, etc.)</w:t>
      </w:r>
    </w:p>
    <w:p>
      <w:pPr>
        <w:pStyle w:val="Normal"/>
        <w:numPr>
          <w:ilvl w:val="1"/>
          <w:numId w:val="3"/>
        </w:numPr>
        <w:tabs>
          <w:tab w:val="clear" w:pos="720"/>
        </w:tabs>
        <w:ind w:hanging="360" w:start="720" w:end="0"/>
        <w:rPr>
          <w:sz w:val="20"/>
        </w:rPr>
      </w:pPr>
      <w:r>
        <w:rPr>
          <w:sz w:val="20"/>
        </w:rPr>
        <w:t>At that meeting, the participants designated Enron (Steve Kean) to help coordinate the effort</w:t>
      </w:r>
    </w:p>
    <w:p>
      <w:pPr>
        <w:pStyle w:val="Heading1"/>
        <w:rPr>
          <w:b w:val="false"/>
          <w:bCs w:val="false"/>
          <w:u w:val="single"/>
        </w:rPr>
      </w:pPr>
      <w:r>
        <w:rPr>
          <w:b w:val="false"/>
          <w:bCs w:val="false"/>
          <w:u w:val="single"/>
        </w:rPr>
        <w:t>Issues regarding creditworthiness persist</w:t>
      </w:r>
    </w:p>
    <w:p>
      <w:pPr>
        <w:pStyle w:val="Normal"/>
        <w:numPr>
          <w:ilvl w:val="1"/>
          <w:numId w:val="3"/>
        </w:numPr>
        <w:tabs>
          <w:tab w:val="clear" w:pos="720"/>
        </w:tabs>
        <w:ind w:hanging="360" w:start="720" w:end="0"/>
        <w:rPr>
          <w:sz w:val="20"/>
        </w:rPr>
      </w:pPr>
      <w:r>
        <w:rPr>
          <w:sz w:val="20"/>
        </w:rPr>
        <w:t xml:space="preserve">The discussions have focused considerably on the fact that creditworthiness continues to be an issue for suppliers trying to contract with DWR </w:t>
      </w:r>
    </w:p>
    <w:p>
      <w:pPr>
        <w:pStyle w:val="Normal"/>
        <w:numPr>
          <w:ilvl w:val="1"/>
          <w:numId w:val="3"/>
        </w:numPr>
        <w:tabs>
          <w:tab w:val="clear" w:pos="720"/>
        </w:tabs>
        <w:ind w:hanging="360" w:start="720" w:end="0"/>
        <w:rPr>
          <w:sz w:val="20"/>
        </w:rPr>
      </w:pPr>
      <w:r>
        <w:rPr>
          <w:sz w:val="20"/>
        </w:rPr>
        <w:t>The Governor’s staff insisted that while the Governor was somewhat misinformed on the creditworthiness issue, he and the rest of the administration now understand it and are aggressively trying to resolve the issue within the next week or two</w:t>
      </w:r>
    </w:p>
    <w:p>
      <w:pPr>
        <w:pStyle w:val="Normal"/>
        <w:numPr>
          <w:ilvl w:val="1"/>
          <w:numId w:val="3"/>
        </w:numPr>
        <w:tabs>
          <w:tab w:val="clear" w:pos="720"/>
        </w:tabs>
        <w:ind w:hanging="360" w:start="720" w:end="0"/>
        <w:rPr>
          <w:sz w:val="20"/>
        </w:rPr>
      </w:pPr>
      <w:r>
        <w:rPr>
          <w:sz w:val="20"/>
        </w:rPr>
        <w:t>The creditworthiness issue focuses on the fact that uncertainty remains regarding whether the PUC will ensure that DWR recovers 100% of its costs through electric rates.</w:t>
      </w:r>
    </w:p>
    <w:p>
      <w:pPr>
        <w:pStyle w:val="Normal"/>
        <w:numPr>
          <w:ilvl w:val="1"/>
          <w:numId w:val="3"/>
        </w:numPr>
        <w:tabs>
          <w:tab w:val="clear" w:pos="720"/>
        </w:tabs>
        <w:ind w:hanging="360" w:start="720" w:end="0"/>
        <w:rPr>
          <w:sz w:val="20"/>
        </w:rPr>
      </w:pPr>
      <w:r>
        <w:rPr>
          <w:sz w:val="20"/>
        </w:rPr>
        <w:t>The Governor’s office is attempting to draft a legal document that would be binding on the PUC and would ensure that rates are adequate to cover DWR’s costs (and by extension the bonds)</w:t>
      </w:r>
    </w:p>
    <w:p>
      <w:pPr>
        <w:pStyle w:val="Normal"/>
        <w:numPr>
          <w:ilvl w:val="1"/>
          <w:numId w:val="3"/>
        </w:numPr>
        <w:tabs>
          <w:tab w:val="clear" w:pos="720"/>
        </w:tabs>
        <w:ind w:hanging="360" w:start="720" w:end="0"/>
        <w:rPr>
          <w:sz w:val="20"/>
        </w:rPr>
      </w:pPr>
      <w:r>
        <w:rPr>
          <w:sz w:val="20"/>
        </w:rPr>
        <w:t xml:space="preserve">A draft of that document was supposed to be ready for review at the beginning of this week, but we have since been informed by the Governor’s staff that the document won’t be ready until next week.  </w:t>
      </w:r>
    </w:p>
    <w:p>
      <w:pPr>
        <w:pStyle w:val="Normal"/>
        <w:numPr>
          <w:ilvl w:val="1"/>
          <w:numId w:val="3"/>
        </w:numPr>
        <w:tabs>
          <w:tab w:val="clear" w:pos="720"/>
        </w:tabs>
        <w:ind w:hanging="360" w:start="720" w:end="0"/>
        <w:rPr>
          <w:sz w:val="20"/>
        </w:rPr>
      </w:pPr>
      <w:r>
        <w:rPr>
          <w:sz w:val="20"/>
        </w:rPr>
        <w:t>However, as explained further below, given the climate in Sacramento, it is unclear whether restoring the utilities to creditworthiness will be enough to encourage suppliers to contract with DWR—the generators are very frustrated with the continued failure to reach a global settlement</w:t>
      </w:r>
    </w:p>
    <w:p>
      <w:pPr>
        <w:pStyle w:val="Normal"/>
        <w:numPr>
          <w:ilvl w:val="1"/>
          <w:numId w:val="3"/>
        </w:numPr>
        <w:tabs>
          <w:tab w:val="clear" w:pos="720"/>
        </w:tabs>
        <w:ind w:hanging="360" w:start="720" w:end="0"/>
        <w:rPr>
          <w:color w:val="000000"/>
          <w:sz w:val="20"/>
          <w:szCs w:val="20"/>
        </w:rPr>
      </w:pPr>
      <w:r>
        <w:rPr>
          <w:sz w:val="20"/>
        </w:rPr>
        <w:t xml:space="preserve">From Enron’s perspective, we would prefer that DWR stop contracting altogether, since incremental contracting will impede Direct Access and the core/noncore structure by creating state-sponsored “stranded costs” </w:t>
      </w:r>
      <w:r>
        <w:rPr>
          <w:b/>
          <w:bCs/>
          <w:sz w:val="20"/>
        </w:rPr>
        <w:t>(note, however, that ENA is currently in talks with DWR for a peak power sale (</w:t>
      </w:r>
      <w:r>
        <w:rPr>
          <w:b/>
          <w:bCs/>
          <w:color w:val="000000"/>
          <w:sz w:val="20"/>
          <w:szCs w:val="20"/>
        </w:rPr>
        <w:t>Q301-Q401 for 100 MW, Q102 150MW, Q202 200MW, Q302 250MW, Q402 300MW, 1/03-12/06 300MW—but no decision has yet been made regarding the deal)</w:t>
      </w:r>
    </w:p>
    <w:p>
      <w:pPr>
        <w:pStyle w:val="Normal"/>
        <w:numPr>
          <w:ilvl w:val="1"/>
          <w:numId w:val="3"/>
        </w:numPr>
        <w:tabs>
          <w:tab w:val="clear" w:pos="720"/>
        </w:tabs>
        <w:ind w:hanging="360" w:start="720" w:end="0"/>
        <w:rPr>
          <w:sz w:val="20"/>
        </w:rPr>
      </w:pPr>
      <w:r>
        <w:rPr>
          <w:sz w:val="20"/>
        </w:rPr>
        <w:t>Time is clearly better spent focusing on a solution that includes getting DWR out of the procurement function altogether rather than spending time and resources attempting to make it creditworthy and prolonging its procurement role</w:t>
      </w:r>
    </w:p>
    <w:p>
      <w:pPr>
        <w:pStyle w:val="Heading2"/>
        <w:rPr/>
      </w:pPr>
      <w:r>
        <w:rPr/>
        <w:t>Parameters of a Global Solution</w:t>
      </w:r>
    </w:p>
    <w:p>
      <w:pPr>
        <w:pStyle w:val="Normal"/>
        <w:numPr>
          <w:ilvl w:val="1"/>
          <w:numId w:val="3"/>
        </w:numPr>
        <w:tabs>
          <w:tab w:val="clear" w:pos="720"/>
        </w:tabs>
        <w:ind w:hanging="360" w:start="720" w:end="0"/>
        <w:rPr>
          <w:sz w:val="20"/>
        </w:rPr>
      </w:pPr>
      <w:r>
        <w:rPr>
          <w:sz w:val="20"/>
        </w:rPr>
        <w:t>The suppliers met again with the Governor’s staff on Tuesday, May 15</w:t>
      </w:r>
      <w:r>
        <w:rPr>
          <w:sz w:val="20"/>
          <w:vertAlign w:val="superscript"/>
        </w:rPr>
        <w:t>th</w:t>
      </w:r>
      <w:r>
        <w:rPr>
          <w:sz w:val="20"/>
        </w:rPr>
        <w:t>.</w:t>
      </w:r>
    </w:p>
    <w:p>
      <w:pPr>
        <w:pStyle w:val="Normal"/>
        <w:numPr>
          <w:ilvl w:val="1"/>
          <w:numId w:val="3"/>
        </w:numPr>
        <w:tabs>
          <w:tab w:val="clear" w:pos="720"/>
        </w:tabs>
        <w:ind w:hanging="360" w:start="720" w:end="0"/>
        <w:rPr>
          <w:sz w:val="20"/>
        </w:rPr>
      </w:pPr>
      <w:r>
        <w:rPr>
          <w:sz w:val="20"/>
        </w:rPr>
        <w:t>The Governor’s staff was not prepared to discuss the creditworthiness issue, so the meeting focused on the need to achieve a comprehensive solution.</w:t>
      </w:r>
    </w:p>
    <w:p>
      <w:pPr>
        <w:pStyle w:val="Normal"/>
        <w:numPr>
          <w:ilvl w:val="1"/>
          <w:numId w:val="3"/>
        </w:numPr>
        <w:tabs>
          <w:tab w:val="clear" w:pos="720"/>
        </w:tabs>
        <w:ind w:hanging="360" w:start="720" w:end="0"/>
        <w:rPr>
          <w:sz w:val="20"/>
        </w:rPr>
      </w:pPr>
      <w:r>
        <w:rPr>
          <w:sz w:val="20"/>
        </w:rPr>
        <w:t>The Governor’s staff stated that resolution of the investigations and lawsuits is not, and will not be, on the table for discussion.  They stated that the focus should remain exclusively on the size of the haircut suppliers are willing to take.</w:t>
      </w:r>
    </w:p>
    <w:p>
      <w:pPr>
        <w:pStyle w:val="Normal"/>
        <w:numPr>
          <w:ilvl w:val="1"/>
          <w:numId w:val="3"/>
        </w:numPr>
        <w:tabs>
          <w:tab w:val="clear" w:pos="720"/>
        </w:tabs>
        <w:ind w:hanging="360" w:start="720" w:end="0"/>
        <w:rPr>
          <w:sz w:val="20"/>
        </w:rPr>
      </w:pPr>
      <w:r>
        <w:rPr>
          <w:sz w:val="20"/>
        </w:rPr>
        <w:t>The generators told the governor’s staff that the two needed to be linked to have constructive negotiations, but the staff resisted.</w:t>
      </w:r>
    </w:p>
    <w:p>
      <w:pPr>
        <w:pStyle w:val="Normal"/>
        <w:numPr>
          <w:ilvl w:val="1"/>
          <w:numId w:val="3"/>
        </w:numPr>
        <w:tabs>
          <w:tab w:val="clear" w:pos="720"/>
        </w:tabs>
        <w:ind w:hanging="360" w:start="720" w:end="0"/>
        <w:rPr>
          <w:sz w:val="20"/>
        </w:rPr>
      </w:pPr>
      <w:r>
        <w:rPr>
          <w:sz w:val="20"/>
        </w:rPr>
        <w:t>In a call with generators after the meeting, the generators expressed frustration with the staff position and questioned the value of continuing the discussions.  (Under these conditions, it is unlikely that many generators will willingly continue to do deals with DWR, even if the creditworthiness issues get resolved.)</w:t>
      </w:r>
    </w:p>
    <w:p>
      <w:pPr>
        <w:pStyle w:val="Normal"/>
        <w:numPr>
          <w:ilvl w:val="1"/>
          <w:numId w:val="3"/>
        </w:numPr>
        <w:tabs>
          <w:tab w:val="clear" w:pos="720"/>
        </w:tabs>
        <w:ind w:hanging="360" w:start="720" w:end="0"/>
        <w:rPr>
          <w:sz w:val="20"/>
        </w:rPr>
      </w:pPr>
      <w:r>
        <w:rPr>
          <w:sz w:val="20"/>
        </w:rPr>
        <w:t>In the call with the Governor’s staff, we also urged the staff to bring legislative representatives into the meeting.</w:t>
      </w:r>
    </w:p>
    <w:p>
      <w:pPr>
        <w:pStyle w:val="Normal"/>
        <w:numPr>
          <w:ilvl w:val="1"/>
          <w:numId w:val="3"/>
        </w:numPr>
        <w:tabs>
          <w:tab w:val="clear" w:pos="720"/>
        </w:tabs>
        <w:ind w:hanging="360" w:start="720" w:end="0"/>
        <w:rPr>
          <w:sz w:val="20"/>
        </w:rPr>
      </w:pPr>
      <w:r>
        <w:rPr>
          <w:sz w:val="20"/>
        </w:rPr>
        <w:t>The Governor’s staff stated that they did not believe the timing was right to include legislators and were not prepared to play a role in bringing the legislature into the discussions.  They did encourage the suppliers to meet with legislators, however.</w:t>
      </w:r>
    </w:p>
    <w:p>
      <w:pPr>
        <w:pStyle w:val="Normal"/>
        <w:numPr>
          <w:ilvl w:val="1"/>
          <w:numId w:val="3"/>
        </w:numPr>
        <w:tabs>
          <w:tab w:val="clear" w:pos="720"/>
        </w:tabs>
        <w:ind w:hanging="360" w:start="720" w:end="0"/>
        <w:rPr>
          <w:sz w:val="20"/>
        </w:rPr>
      </w:pPr>
      <w:r>
        <w:rPr>
          <w:sz w:val="20"/>
        </w:rPr>
        <w:t>The suppliers will have another call to discuss next steps on Friday, May 18</w:t>
      </w:r>
      <w:r>
        <w:rPr>
          <w:sz w:val="20"/>
          <w:vertAlign w:val="superscript"/>
        </w:rPr>
        <w:t>th</w:t>
      </w:r>
      <w:r>
        <w:rPr>
          <w:sz w:val="20"/>
        </w:rPr>
        <w:t>.</w:t>
      </w:r>
    </w:p>
    <w:p>
      <w:pPr>
        <w:pStyle w:val="Normal"/>
        <w:numPr>
          <w:ilvl w:val="1"/>
          <w:numId w:val="3"/>
        </w:numPr>
        <w:tabs>
          <w:tab w:val="clear" w:pos="720"/>
        </w:tabs>
        <w:ind w:hanging="360" w:start="720" w:end="0"/>
        <w:rPr>
          <w:sz w:val="20"/>
        </w:rPr>
      </w:pPr>
      <w:r>
        <w:rPr>
          <w:sz w:val="20"/>
        </w:rPr>
        <w:t>We are currently attempting to schedule a meeting in Sacramento early next week with the supplier group, the Governor’s staff, and key rank-and-file legislators (both Democrats and Republicans)</w:t>
      </w:r>
    </w:p>
    <w:p>
      <w:pPr>
        <w:pStyle w:val="Normal"/>
        <w:numPr>
          <w:ilvl w:val="1"/>
          <w:numId w:val="3"/>
        </w:numPr>
        <w:tabs>
          <w:tab w:val="clear" w:pos="720"/>
        </w:tabs>
        <w:ind w:hanging="360" w:start="720" w:end="0"/>
        <w:rPr>
          <w:sz w:val="20"/>
        </w:rPr>
      </w:pPr>
      <w:r>
        <w:rPr>
          <w:sz w:val="20"/>
        </w:rPr>
        <w:t xml:space="preserve">The hope is that by getting </w:t>
      </w:r>
      <w:r>
        <w:rPr>
          <w:b/>
          <w:bCs/>
          <w:i/>
          <w:iCs/>
          <w:sz w:val="20"/>
        </w:rPr>
        <w:t>all</w:t>
      </w:r>
      <w:r>
        <w:rPr>
          <w:sz w:val="20"/>
        </w:rPr>
        <w:t xml:space="preserve"> of the parties in the same room, significantly more progress will be made than has been made to date.</w:t>
      </w:r>
    </w:p>
    <w:p>
      <w:pPr>
        <w:pStyle w:val="Normal"/>
        <w:numPr>
          <w:ilvl w:val="0"/>
          <w:numId w:val="2"/>
        </w:numPr>
        <w:rPr>
          <w:i/>
          <w:i/>
          <w:iCs/>
          <w:sz w:val="20"/>
        </w:rPr>
      </w:pPr>
      <w:r>
        <w:rPr>
          <w:i/>
          <w:iCs/>
          <w:sz w:val="20"/>
        </w:rPr>
        <w:t>Meanwhile, the Legislature passed a bill authorizing $13.4 billion in bonds</w:t>
      </w:r>
    </w:p>
    <w:p>
      <w:pPr>
        <w:pStyle w:val="Normal"/>
        <w:numPr>
          <w:ilvl w:val="1"/>
          <w:numId w:val="3"/>
        </w:numPr>
        <w:tabs>
          <w:tab w:val="clear" w:pos="720"/>
        </w:tabs>
        <w:ind w:hanging="360" w:start="720" w:end="0"/>
        <w:rPr>
          <w:sz w:val="20"/>
        </w:rPr>
      </w:pPr>
      <w:r>
        <w:rPr>
          <w:sz w:val="20"/>
        </w:rPr>
        <w:t>The Governor could not muster the 2/3 majority necessary to make the authorization effective immediately (which he blasted the Republicans for publicly)</w:t>
      </w:r>
    </w:p>
    <w:p>
      <w:pPr>
        <w:pStyle w:val="Normal"/>
        <w:numPr>
          <w:ilvl w:val="1"/>
          <w:numId w:val="3"/>
        </w:numPr>
        <w:tabs>
          <w:tab w:val="clear" w:pos="720"/>
        </w:tabs>
        <w:ind w:hanging="360" w:start="720" w:end="0"/>
        <w:rPr>
          <w:sz w:val="20"/>
        </w:rPr>
      </w:pPr>
      <w:r>
        <w:rPr>
          <w:sz w:val="20"/>
        </w:rPr>
        <w:t>Bills that require a 2/3 majority but only receive a simple majority go into effect 90 days after the close of the emergency session</w:t>
      </w:r>
    </w:p>
    <w:p>
      <w:pPr>
        <w:pStyle w:val="Normal"/>
        <w:numPr>
          <w:ilvl w:val="1"/>
          <w:numId w:val="3"/>
        </w:numPr>
        <w:tabs>
          <w:tab w:val="clear" w:pos="720"/>
        </w:tabs>
        <w:ind w:hanging="360" w:start="720" w:end="0"/>
        <w:rPr>
          <w:sz w:val="20"/>
        </w:rPr>
      </w:pPr>
      <w:r>
        <w:rPr>
          <w:sz w:val="20"/>
        </w:rPr>
        <w:t xml:space="preserve">Faced with this dilemma, the Governor has closed the session, which means the bonds can get issued in 90 days </w:t>
      </w:r>
    </w:p>
    <w:p>
      <w:pPr>
        <w:pStyle w:val="Normal"/>
        <w:numPr>
          <w:ilvl w:val="1"/>
          <w:numId w:val="3"/>
        </w:numPr>
        <w:tabs>
          <w:tab w:val="clear" w:pos="720"/>
        </w:tabs>
        <w:ind w:hanging="360" w:start="720" w:end="0"/>
        <w:rPr>
          <w:sz w:val="20"/>
        </w:rPr>
      </w:pPr>
      <w:r>
        <w:rPr>
          <w:sz w:val="20"/>
        </w:rPr>
        <w:t>He will then immediately announce a “new” emergency session and the bills that were moving through the Legislature will pick up where they left off</w:t>
      </w:r>
    </w:p>
    <w:p>
      <w:pPr>
        <w:pStyle w:val="Normal"/>
        <w:numPr>
          <w:ilvl w:val="1"/>
          <w:numId w:val="3"/>
        </w:numPr>
        <w:tabs>
          <w:tab w:val="clear" w:pos="720"/>
        </w:tabs>
        <w:ind w:hanging="360" w:start="720" w:end="0"/>
        <w:rPr>
          <w:sz w:val="20"/>
        </w:rPr>
      </w:pPr>
      <w:r>
        <w:rPr>
          <w:sz w:val="20"/>
        </w:rPr>
        <w:t>On May 15</w:t>
      </w:r>
      <w:r>
        <w:rPr>
          <w:sz w:val="20"/>
          <w:vertAlign w:val="superscript"/>
        </w:rPr>
        <w:t>th</w:t>
      </w:r>
      <w:r>
        <w:rPr>
          <w:sz w:val="20"/>
        </w:rPr>
        <w:t>, Moody’s downgraded California’s credit rating.</w:t>
      </w:r>
    </w:p>
    <w:p>
      <w:pPr>
        <w:pStyle w:val="Normal"/>
        <w:numPr>
          <w:ilvl w:val="0"/>
          <w:numId w:val="2"/>
        </w:numPr>
        <w:rPr>
          <w:i/>
          <w:i/>
          <w:iCs/>
          <w:sz w:val="20"/>
        </w:rPr>
      </w:pPr>
      <w:r>
        <w:rPr>
          <w:i/>
          <w:iCs/>
          <w:sz w:val="20"/>
        </w:rPr>
        <w:t>In addition, the PUC released two competing proposals to implement rate increases and adopted a final decision on Tuesday</w:t>
      </w:r>
    </w:p>
    <w:p>
      <w:pPr>
        <w:pStyle w:val="Normal"/>
        <w:numPr>
          <w:ilvl w:val="1"/>
          <w:numId w:val="3"/>
        </w:numPr>
        <w:tabs>
          <w:tab w:val="clear" w:pos="720"/>
        </w:tabs>
        <w:ind w:hanging="360" w:start="720" w:end="0"/>
        <w:rPr>
          <w:sz w:val="20"/>
        </w:rPr>
      </w:pPr>
      <w:r>
        <w:rPr>
          <w:sz w:val="20"/>
        </w:rPr>
        <w:t>The proposals differed very little, with Lynch’s giving residential a slightly larger average overall increase (a summary of the proposals is also attached—the judges and Lynches are highlighted)</w:t>
      </w:r>
    </w:p>
    <w:p>
      <w:pPr>
        <w:pStyle w:val="Normal"/>
        <w:numPr>
          <w:ilvl w:val="1"/>
          <w:numId w:val="3"/>
        </w:numPr>
        <w:tabs>
          <w:tab w:val="clear" w:pos="720"/>
        </w:tabs>
        <w:ind w:hanging="360" w:start="720" w:end="0"/>
        <w:rPr>
          <w:sz w:val="20"/>
        </w:rPr>
      </w:pPr>
      <w:r>
        <w:rPr>
          <w:sz w:val="20"/>
        </w:rPr>
        <w:t>Neither proposal adopted “real-time pricing” or peak-pricing</w:t>
      </w:r>
    </w:p>
    <w:p>
      <w:pPr>
        <w:pStyle w:val="Normal"/>
        <w:numPr>
          <w:ilvl w:val="1"/>
          <w:numId w:val="3"/>
        </w:numPr>
        <w:tabs>
          <w:tab w:val="clear" w:pos="720"/>
        </w:tabs>
        <w:ind w:hanging="360" w:start="720" w:end="0"/>
        <w:rPr>
          <w:sz w:val="20"/>
        </w:rPr>
      </w:pPr>
      <w:r>
        <w:rPr>
          <w:sz w:val="20"/>
        </w:rPr>
        <w:t>Instead, they established uniform increases across all hours</w:t>
      </w:r>
    </w:p>
    <w:p>
      <w:pPr>
        <w:pStyle w:val="Normal"/>
        <w:numPr>
          <w:ilvl w:val="1"/>
          <w:numId w:val="3"/>
        </w:numPr>
        <w:tabs>
          <w:tab w:val="clear" w:pos="720"/>
        </w:tabs>
        <w:ind w:hanging="360" w:start="720" w:end="0"/>
        <w:rPr>
          <w:sz w:val="20"/>
        </w:rPr>
      </w:pPr>
      <w:r>
        <w:rPr>
          <w:sz w:val="20"/>
        </w:rPr>
        <w:t>Worse, both proposals placed the bulk of the burden on businesses</w:t>
      </w:r>
    </w:p>
    <w:p>
      <w:pPr>
        <w:pStyle w:val="Normal"/>
        <w:numPr>
          <w:ilvl w:val="1"/>
          <w:numId w:val="3"/>
        </w:numPr>
        <w:tabs>
          <w:tab w:val="clear" w:pos="720"/>
        </w:tabs>
        <w:ind w:hanging="360" w:start="720" w:end="0"/>
        <w:rPr>
          <w:sz w:val="20"/>
        </w:rPr>
      </w:pPr>
      <w:r>
        <w:rPr>
          <w:sz w:val="20"/>
        </w:rPr>
        <w:t>Under Lynch’s proposal some of the largest customers in PG&amp;E’s territory would see a 75% increase, while residential customers would only get an average rate hike of 17%</w:t>
      </w:r>
    </w:p>
    <w:p>
      <w:pPr>
        <w:pStyle w:val="Normal"/>
        <w:numPr>
          <w:ilvl w:val="1"/>
          <w:numId w:val="3"/>
        </w:numPr>
        <w:tabs>
          <w:tab w:val="clear" w:pos="720"/>
        </w:tabs>
        <w:ind w:hanging="360" w:start="720" w:end="0"/>
        <w:rPr>
          <w:sz w:val="20"/>
        </w:rPr>
      </w:pPr>
      <w:r>
        <w:rPr>
          <w:sz w:val="20"/>
        </w:rPr>
        <w:t xml:space="preserve">Likewise, SCE’s largest customers would see a 65% increase, while residential customers would have their rates go up by only 16% </w:t>
      </w:r>
    </w:p>
    <w:p>
      <w:pPr>
        <w:pStyle w:val="Normal"/>
        <w:numPr>
          <w:ilvl w:val="1"/>
          <w:numId w:val="3"/>
        </w:numPr>
        <w:tabs>
          <w:tab w:val="clear" w:pos="720"/>
        </w:tabs>
        <w:ind w:hanging="360" w:start="720" w:end="0"/>
        <w:rPr>
          <w:sz w:val="20"/>
        </w:rPr>
      </w:pPr>
      <w:r>
        <w:rPr>
          <w:sz w:val="20"/>
        </w:rPr>
        <w:t>Residential customers who consume less than 130% of historic usage would see NO increase (this will greatly discourage conservation, which the Governor is counting on to make it through the summer)</w:t>
      </w:r>
    </w:p>
    <w:p>
      <w:pPr>
        <w:pStyle w:val="Normal"/>
        <w:numPr>
          <w:ilvl w:val="1"/>
          <w:numId w:val="3"/>
        </w:numPr>
        <w:tabs>
          <w:tab w:val="clear" w:pos="720"/>
        </w:tabs>
        <w:ind w:hanging="360" w:start="720" w:end="0"/>
        <w:rPr>
          <w:sz w:val="20"/>
        </w:rPr>
      </w:pPr>
      <w:r>
        <w:rPr>
          <w:sz w:val="20"/>
        </w:rPr>
        <w:t xml:space="preserve">To pay for this residential subsidy, Lynch’s decision slaps an additional 1 cent/kwh on business rates—above and beyond the 3 cents/kwh increase </w:t>
      </w:r>
    </w:p>
    <w:p>
      <w:pPr>
        <w:pStyle w:val="Normal"/>
        <w:numPr>
          <w:ilvl w:val="1"/>
          <w:numId w:val="3"/>
        </w:numPr>
        <w:tabs>
          <w:tab w:val="clear" w:pos="720"/>
        </w:tabs>
        <w:ind w:hanging="360" w:start="720" w:end="0"/>
        <w:rPr>
          <w:sz w:val="20"/>
        </w:rPr>
      </w:pPr>
      <w:r>
        <w:rPr>
          <w:sz w:val="20"/>
        </w:rPr>
        <w:t>The business community is extremely upset about the proposals and has voiced its strong opposition</w:t>
      </w:r>
    </w:p>
    <w:p>
      <w:pPr>
        <w:pStyle w:val="Normal"/>
        <w:numPr>
          <w:ilvl w:val="1"/>
          <w:numId w:val="3"/>
        </w:numPr>
        <w:tabs>
          <w:tab w:val="clear" w:pos="720"/>
        </w:tabs>
        <w:ind w:hanging="360" w:start="720" w:end="0"/>
        <w:rPr>
          <w:sz w:val="20"/>
        </w:rPr>
      </w:pPr>
      <w:r>
        <w:rPr>
          <w:sz w:val="20"/>
        </w:rPr>
        <w:t>On Tuesday, the PUC issued a final decision.  With minor exceptions (e.g., some costs were shifted back to residential consumers from business customers) the Commission approved the Lynch decision</w:t>
      </w:r>
    </w:p>
    <w:p>
      <w:pPr>
        <w:pStyle w:val="Normal"/>
        <w:numPr>
          <w:ilvl w:val="1"/>
          <w:numId w:val="3"/>
        </w:numPr>
        <w:tabs>
          <w:tab w:val="clear" w:pos="720"/>
        </w:tabs>
        <w:ind w:hanging="360" w:start="720" w:end="0"/>
        <w:rPr>
          <w:sz w:val="20"/>
        </w:rPr>
      </w:pPr>
      <w:r>
        <w:rPr>
          <w:sz w:val="20"/>
        </w:rPr>
        <w:t>The decision was voted out 3-2, with the two Republicans (Bilas and Duque) dissenting strongly.  Bilas stated publicly that 1) the decision would not get the conservation that California needed to avoid blackouts this summer, and 2) the unjustified hikes on business customers would likely throw California into a recession.</w:t>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sz w:val="20"/>
    </w:rPr>
  </w:style>
  <w:style w:type="paragraph" w:styleId="Heading2">
    <w:name w:val="heading 2"/>
    <w:basedOn w:val="Normal"/>
    <w:next w:val="Normal"/>
    <w:qFormat/>
    <w:pPr>
      <w:keepNext w:val="true"/>
      <w:numPr>
        <w:ilvl w:val="1"/>
        <w:numId w:val="1"/>
      </w:numPr>
      <w:ind w:hanging="0" w:start="360" w:end="0"/>
      <w:outlineLvl w:val="1"/>
    </w:pPr>
    <w:rPr>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Wingdings" w:hAnsi="Wingdings" w:eastAsia="Times New Roman" w:cs="Times New Roman"/>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2001-05-16T18:01:00Z</dcterms:created>
  <dc:creator>jdasovic</dc:creator>
  <dc:description/>
  <dc:language>en-CA</dc:language>
  <cp:lastModifiedBy>jdasovic</cp:lastModifiedBy>
  <dcterms:modified xsi:type="dcterms:W3CDTF">2001-05-16T22:56:00Z</dcterms:modified>
  <cp:revision>10</cp:revision>
  <dc:subject/>
  <dc:title>SITUATION SINCE FINAL MEETINGS WITH LEGISLATORS ON MONDAY, MAY 7TH</dc:title>
</cp:coreProperties>
</file>