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10"/>
        </w:numPr>
        <w:rPr/>
      </w:pPr>
      <w:r>
        <w:rPr/>
        <w:t>Create competitive retail and wholesale markets</w:t>
      </w:r>
    </w:p>
    <w:p>
      <w:pPr>
        <w:pStyle w:val="Normal"/>
        <w:numPr>
          <w:ilvl w:val="0"/>
          <w:numId w:val="10"/>
        </w:numPr>
        <w:rPr/>
      </w:pPr>
      <w:r>
        <w:rPr/>
        <w:t xml:space="preserve">Reduce demand by reforming retail rates </w:t>
      </w:r>
    </w:p>
    <w:p>
      <w:pPr>
        <w:pStyle w:val="Normal"/>
        <w:numPr>
          <w:ilvl w:val="0"/>
          <w:numId w:val="10"/>
        </w:numPr>
        <w:rPr/>
      </w:pPr>
      <w:r>
        <w:rPr/>
        <w:t xml:space="preserve">Establish rates that ensure utility creditworthiness </w:t>
      </w:r>
    </w:p>
    <w:p>
      <w:pPr>
        <w:pStyle w:val="Normal"/>
        <w:numPr>
          <w:ilvl w:val="0"/>
          <w:numId w:val="10"/>
        </w:numPr>
        <w:rPr/>
      </w:pPr>
      <w:r>
        <w:rPr/>
        <w:t xml:space="preserve">Increase supply by paying QFs and reforming permitting rules </w:t>
      </w:r>
    </w:p>
    <w:p>
      <w:pPr>
        <w:pStyle w:val="Normal"/>
        <w:numPr>
          <w:ilvl w:val="0"/>
          <w:numId w:val="10"/>
        </w:numPr>
        <w:rPr/>
      </w:pPr>
      <w:r>
        <w:rPr/>
        <w:t xml:space="preserve">Attract new investment to California’s in-state gas transportation network </w:t>
      </w:r>
    </w:p>
    <w:p>
      <w:pPr>
        <w:pStyle w:val="BodyText"/>
        <w:rPr>
          <w:i/>
          <w:i/>
          <w:iCs/>
          <w:sz w:val="24"/>
          <w:u w:val="single"/>
        </w:rPr>
      </w:pPr>
      <w:r>
        <w:rPr>
          <w:i/>
          <w:iC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rPr/>
      </w:pPr>
      <w:r>
        <w:rPr/>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Heading1"/>
        <w:numPr>
          <w:ilvl w:val="1"/>
          <w:numId w:val="14"/>
        </w:numPr>
        <w:rPr>
          <w:b w:val="false"/>
          <w:bCs w:val="false"/>
          <w:u w:val="none"/>
        </w:rPr>
      </w:pPr>
      <w:r>
        <w:rPr>
          <w:b w:val="false"/>
          <w:bCs w:val="false"/>
          <w:u w:val="none"/>
        </w:rPr>
        <w:t xml:space="preserve">The retail framework currently in place (“PX Credit Model”) should remain in effect until March 31, 2002.  This provides a smooth transition, recognizes current contractual relationships and corresponds to the end of the retail rate freeze provided in AB1890.  The DJ Index should be used to replace the PX Day-Ahead market price for purposes of calculation.  </w:t>
      </w:r>
    </w:p>
    <w:p>
      <w:pPr>
        <w:pStyle w:val="Normal"/>
        <w:rPr>
          <w:b/>
          <w:bCs/>
          <w:u w:val="none"/>
        </w:rPr>
      </w:pPr>
      <w:r>
        <w:rPr>
          <w:b/>
          <w:bCs/>
          <w:u w:val="none"/>
        </w:rPr>
      </w:r>
    </w:p>
    <w:p>
      <w:pPr>
        <w:pStyle w:val="Normal"/>
        <w:numPr>
          <w:ilvl w:val="1"/>
          <w:numId w:val="14"/>
        </w:numPr>
        <w:rPr/>
      </w:pPr>
      <w:r>
        <w:rPr/>
        <w:t>The CPUC should undertake a full unbundling proceeding to determine a retail framework to be implemented on March 31, 2002.  This proceeding should be modeled on a Pennsylvania retail market structure (“Bottoms Up Approach”).</w:t>
      </w:r>
    </w:p>
    <w:p>
      <w:pPr>
        <w:pStyle w:val="Normal"/>
        <w:ind w:start="144" w:end="0"/>
        <w:rPr/>
      </w:pPr>
      <w:r>
        <w:rPr/>
      </w:r>
    </w:p>
    <w:p>
      <w:pPr>
        <w:pStyle w:val="Normal"/>
        <w:numPr>
          <w:ilvl w:val="0"/>
          <w:numId w:val="21"/>
        </w:numPr>
        <w:rPr/>
      </w:pPr>
      <w:r>
        <w:rPr/>
        <w:t xml:space="preserve">In the near term, allow CDWR and Utilities to purchase power for all customers not switching to Direct Access.    </w:t>
      </w:r>
    </w:p>
    <w:p>
      <w:pPr>
        <w:pStyle w:val="Header"/>
        <w:tabs>
          <w:tab w:val="clear" w:pos="4320"/>
          <w:tab w:val="clear" w:pos="8640"/>
        </w:tabs>
        <w:rPr/>
      </w:pPr>
      <w:r>
        <w:rPr/>
      </w:r>
    </w:p>
    <w:p>
      <w:pPr>
        <w:pStyle w:val="Heading1"/>
        <w:numPr>
          <w:ilvl w:val="1"/>
          <w:numId w:val="14"/>
        </w:numPr>
        <w:rPr>
          <w:b w:val="false"/>
          <w:bCs w:val="false"/>
          <w:u w:val="none"/>
        </w:rPr>
      </w:pPr>
      <w:r>
        <w:rPr>
          <w:b w:val="false"/>
          <w:bCs w:val="false"/>
          <w:u w:val="none"/>
        </w:rPr>
        <w:t xml:space="preserve">Transfer the procurement role back to the Utilities as of January 1, 2002 (allow time for the CPUC to re-establish just and reasonable retail rates).   Simultaneously assign all CDWR contracts to the utilities.  </w:t>
      </w:r>
    </w:p>
    <w:p>
      <w:pPr>
        <w:pStyle w:val="Header"/>
        <w:tabs>
          <w:tab w:val="clear" w:pos="4320"/>
          <w:tab w:val="clear" w:pos="8640"/>
        </w:tabs>
        <w:rPr>
          <w:b/>
          <w:bCs/>
          <w:u w:val="none"/>
        </w:rPr>
      </w:pPr>
      <w:r>
        <w:rPr>
          <w:b/>
          <w:bCs/>
          <w:u w:val="none"/>
        </w:rPr>
      </w:r>
    </w:p>
    <w:p>
      <w:pPr>
        <w:pStyle w:val="Heading1"/>
        <w:numPr>
          <w:ilvl w:val="1"/>
          <w:numId w:val="14"/>
        </w:numPr>
        <w:rPr>
          <w:b w:val="false"/>
          <w:bCs w:val="false"/>
          <w:u w:val="none"/>
        </w:rPr>
      </w:pPr>
      <w:r>
        <w:rPr>
          <w:b w:val="false"/>
          <w:bCs w:val="false"/>
          <w:u w:val="none"/>
        </w:rPr>
        <w:t>While well intentioned, CDWR has not proven that it can reduce power purchase costs below Utility costs.  CDWR is currently placing a huge financial burden on California.</w:t>
      </w:r>
    </w:p>
    <w:p>
      <w:pPr>
        <w:pStyle w:val="Header"/>
        <w:tabs>
          <w:tab w:val="clear" w:pos="4320"/>
          <w:tab w:val="clear" w:pos="8640"/>
        </w:tabs>
        <w:rPr>
          <w:b/>
          <w:bCs/>
          <w:u w:val="none"/>
        </w:rPr>
      </w:pPr>
      <w:r>
        <w:rPr>
          <w:b/>
          <w:bCs/>
          <w:u w:val="none"/>
        </w:rPr>
      </w:r>
    </w:p>
    <w:p>
      <w:pPr>
        <w:pStyle w:val="Normal"/>
        <w:numPr>
          <w:ilvl w:val="1"/>
          <w:numId w:val="19"/>
        </w:numPr>
        <w:rPr/>
      </w:pPr>
      <w:r>
        <w:rPr>
          <w:color w:val="000000"/>
        </w:rPr>
        <w:t>CDWR must purchase all net short through the end of 2001, including the power it has previously deemed “unreasonably” priced.</w:t>
      </w:r>
    </w:p>
    <w:p>
      <w:pPr>
        <w:pStyle w:val="Normal"/>
        <w:rPr/>
      </w:pPr>
      <w:r>
        <w:rPr/>
      </w:r>
    </w:p>
    <w:p>
      <w:pPr>
        <w:pStyle w:val="Normal"/>
        <w:numPr>
          <w:ilvl w:val="1"/>
          <w:numId w:val="19"/>
        </w:numPr>
        <w:rPr/>
      </w:pPr>
      <w:r>
        <w:rPr>
          <w:color w:val="000000"/>
        </w:rPr>
        <w:t>Direct Access will reduce CDWR’s expenditures.</w:t>
      </w:r>
    </w:p>
    <w:p>
      <w:pPr>
        <w:pStyle w:val="Normal"/>
        <w:rPr/>
      </w:pPr>
      <w:r>
        <w:rPr/>
      </w:r>
    </w:p>
    <w:p>
      <w:pPr>
        <w:pStyle w:val="Normal"/>
        <w:ind w:start="1080" w:end="0"/>
        <w:rPr>
          <w:color w:val="000000"/>
        </w:rPr>
      </w:pPr>
      <w:r>
        <w:rPr>
          <w:color w:val="000000"/>
        </w:rPr>
      </w:r>
    </w:p>
    <w:p>
      <w:pPr>
        <w:pStyle w:val="Normal"/>
        <w:ind w:start="1080" w:end="0"/>
        <w:rPr>
          <w:color w:val="000000"/>
        </w:rPr>
      </w:pPr>
      <w:r>
        <w:rPr>
          <w:color w:val="000000"/>
        </w:rPr>
      </w:r>
    </w:p>
    <w:p>
      <w:pPr>
        <w:pStyle w:val="Normal"/>
        <w:ind w:start="1080" w:end="0"/>
        <w:rPr>
          <w:color w:val="000000"/>
        </w:rPr>
      </w:pPr>
      <w:r>
        <w:rPr>
          <w:color w:val="000000"/>
        </w:rPr>
      </w:r>
    </w:p>
    <w:p>
      <w:pPr>
        <w:pStyle w:val="Normal"/>
        <w:rPr/>
      </w:pPr>
      <w:r>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California</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%Customers Switching to  Direct Access</w:t>
            </w:r>
          </w:p>
        </w:tc>
        <w:tc>
          <w:tcPr>
            <w:tcW w:w="2951" w:type="dxa"/>
            <w:tcBorders/>
            <w:shd w:fill="C0C0C0" w:val="clear"/>
          </w:tcPr>
          <w:p>
            <w:pPr>
              <w:pStyle w:val="Normal"/>
              <w:jc w:val="center"/>
              <w:rPr>
                <w:b/>
                <w:bCs/>
                <w:szCs w:val="20"/>
              </w:rPr>
            </w:pPr>
            <w:r>
              <w:rPr>
                <w:b/>
                <w:bCs/>
                <w:szCs w:val="20"/>
              </w:rPr>
              <w:t xml:space="preserve">     </w:t>
            </w:r>
            <w:r>
              <w:rPr>
                <w:b/>
                <w:bCs/>
                <w:szCs w:val="20"/>
              </w:rPr>
              <w:t xml:space="preserve">Monthly 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b/>
                <w:bCs/>
                <w:szCs w:val="20"/>
              </w:rPr>
            </w:pPr>
            <w:r>
              <w:rPr>
                <w:b/>
                <w:bCs/>
                <w:szCs w:val="20"/>
              </w:rPr>
              <w:t xml:space="preserve">Monthly 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21"/>
        </w:numPr>
        <w:rPr/>
      </w:pPr>
      <w:r>
        <w:rPr/>
        <w:t>In the long run, move to a core/noncore market structure.</w:t>
      </w:r>
    </w:p>
    <w:p>
      <w:pPr>
        <w:pStyle w:val="Normal"/>
        <w:rPr/>
      </w:pPr>
      <w:r>
        <w:rPr/>
      </w:r>
    </w:p>
    <w:p>
      <w:pPr>
        <w:pStyle w:val="Normal"/>
        <w:numPr>
          <w:ilvl w:val="1"/>
          <w:numId w:val="13"/>
        </w:numPr>
        <w:rPr/>
      </w:pPr>
      <w:r>
        <w:rPr/>
        <w:t>Core/noncore market structure is similar to California’s retail natural gas marketplace.  Core customers are residential &amp; small commercial.  Noncore customers are large commercial &amp; industrial.</w:t>
      </w:r>
    </w:p>
    <w:p>
      <w:pPr>
        <w:pStyle w:val="Normal"/>
        <w:ind w:start="936" w:end="0"/>
        <w:rPr/>
      </w:pPr>
      <w:r>
        <w:rPr/>
      </w:r>
    </w:p>
    <w:p>
      <w:pPr>
        <w:pStyle w:val="Normal"/>
        <w:numPr>
          <w:ilvl w:val="1"/>
          <w:numId w:val="13"/>
        </w:numPr>
        <w:rPr/>
      </w:pPr>
      <w:r>
        <w:rPr/>
        <w:t xml:space="preserve">Implement core/noncore market structure beginning January 1, 2003 </w:t>
      </w:r>
    </w:p>
    <w:p>
      <w:pPr>
        <w:pStyle w:val="Normal"/>
        <w:ind w:start="720" w:end="0"/>
        <w:rPr/>
      </w:pPr>
      <w:r>
        <w:rPr/>
      </w:r>
    </w:p>
    <w:p>
      <w:pPr>
        <w:pStyle w:val="Normal"/>
        <w:numPr>
          <w:ilvl w:val="1"/>
          <w:numId w:val="5"/>
        </w:numPr>
        <w:rPr/>
      </w:pPr>
      <w:r>
        <w:rPr/>
        <w:t>The core/noncore market structure significantly reduces the Utilities’ procurement requirements, since noncore customers would procure their own supplies.</w:t>
      </w:r>
    </w:p>
    <w:p>
      <w:pPr>
        <w:pStyle w:val="Normal"/>
        <w:rPr/>
      </w:pPr>
      <w:r>
        <w:rPr/>
      </w:r>
    </w:p>
    <w:p>
      <w:pPr>
        <w:pStyle w:val="Normal"/>
        <w:numPr>
          <w:ilvl w:val="1"/>
          <w:numId w:val="15"/>
        </w:numPr>
        <w:rPr/>
      </w:pPr>
      <w:r>
        <w:rPr/>
        <w:t xml:space="preserve">Neither CDWR nor the Utility is equipped to procure power or manage price risk. </w:t>
      </w:r>
    </w:p>
    <w:p>
      <w:pPr>
        <w:pStyle w:val="Normal"/>
        <w:rPr/>
      </w:pPr>
      <w:r>
        <w:rPr/>
      </w:r>
    </w:p>
    <w:p>
      <w:pPr>
        <w:pStyle w:val="Normal"/>
        <w:numPr>
          <w:ilvl w:val="1"/>
          <w:numId w:val="3"/>
        </w:numPr>
        <w:rPr/>
      </w:pPr>
      <w:r>
        <w:rPr/>
        <w:t>The Utilities’ retained generation, QF contracts, and CDWR power contracts are sufficient to meet the demands of core customers.</w:t>
      </w:r>
    </w:p>
    <w:p>
      <w:pPr>
        <w:pStyle w:val="Normal"/>
        <w:rPr/>
      </w:pPr>
      <w:r>
        <w:rPr/>
      </w:r>
    </w:p>
    <w:p>
      <w:pPr>
        <w:pStyle w:val="Normal"/>
        <w:numPr>
          <w:ilvl w:val="1"/>
          <w:numId w:val="20"/>
        </w:numPr>
        <w:rPr/>
      </w:pPr>
      <w:r>
        <w:rPr/>
        <w:t>Any core customer who chooses Direct Access service will pay a non-bypassable charge to recoup any uneconomic costs of QF contracts and CDWR power contracts.  There are no uneconomic costs remaining with Utility retained generation after March 31, 2002.</w:t>
      </w:r>
    </w:p>
    <w:p>
      <w:pPr>
        <w:pStyle w:val="Normal"/>
        <w:rPr/>
      </w:pPr>
      <w:r>
        <w:rPr/>
      </w:r>
    </w:p>
    <w:p>
      <w:pPr>
        <w:pStyle w:val="Normal"/>
        <w:numPr>
          <w:ilvl w:val="1"/>
          <w:numId w:val="8"/>
        </w:numPr>
        <w:rPr/>
      </w:pPr>
      <w:r>
        <w:rPr/>
        <w:t>Beginning January 1, 2003, for all core customers who do not choose Direct Access service, the right to serve these customers should be granted through bids submitted by competing service providers.  All electricity from retained generation, QF contracts and CDWR power contracts should be assigned to winning bidders.</w:t>
      </w:r>
    </w:p>
    <w:p>
      <w:pPr>
        <w:pStyle w:val="Normal"/>
        <w:rPr/>
      </w:pPr>
      <w:r>
        <w:rPr/>
      </w:r>
    </w:p>
    <w:p>
      <w:pPr>
        <w:pStyle w:val="Normal"/>
        <w:numPr>
          <w:ilvl w:val="0"/>
          <w:numId w:val="7"/>
        </w:numPr>
        <w:rPr/>
      </w:pPr>
      <w:r>
        <w:rPr/>
        <w:t>Estimates of competitive retail offer prices for noncore customers in PG&amp;E territory beginning January 1, 2003:</w:t>
      </w:r>
    </w:p>
    <w:p>
      <w:pPr>
        <w:pStyle w:val="Normal"/>
        <w:rPr/>
      </w:pPr>
      <w:r>
        <w:rPr/>
      </w:r>
    </w:p>
    <w:tbl>
      <w:tblPr>
        <w:tblW w:w="6360"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960"/>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960"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1/05/01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$92.00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$87.00</w:t>
            </w:r>
          </w:p>
        </w:tc>
        <w:tc>
          <w:tcPr>
            <w:tcW w:w="960"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$103.00</w:t>
            </w:r>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$75.00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$68.00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$64.00</w:t>
            </w:r>
          </w:p>
        </w:tc>
        <w:tc>
          <w:tcPr>
            <w:tcW w:w="960"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$64.00</w:t>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PG&amp;E territory beginning January 1, 2003:</w:t>
      </w:r>
    </w:p>
    <w:p>
      <w:pPr>
        <w:pStyle w:val="Normal"/>
        <w:rPr/>
      </w:pPr>
      <w:r>
        <w:rPr/>
      </w:r>
    </w:p>
    <w:tbl>
      <w:tblPr>
        <w:tblW w:w="4440" w:type="dxa"/>
        <w:jc w:val="center"/>
        <w:tblInd w:w="0" w:type="dxa"/>
        <w:tblLayout w:type="fixed"/>
        <w:tblCellMar>
          <w:top w:w="15" w:type="dxa"/>
          <w:start w:w="15" w:type="dxa"/>
          <w:bottom w:w="0" w:type="dxa"/>
          <w:end w:w="15" w:type="dxa"/>
        </w:tblCellMar>
      </w:tblPr>
      <w:tblGrid>
        <w:gridCol w:w="992"/>
        <w:gridCol w:w="661"/>
        <w:gridCol w:w="920"/>
        <w:gridCol w:w="960"/>
        <w:gridCol w:w="90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1/1/03 Rate</w:t>
            </w:r>
          </w:p>
        </w:tc>
        <w:tc>
          <w:tcPr>
            <w:tcW w:w="907"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1/05/01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0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$130.00</w:t>
            </w:r>
          </w:p>
        </w:tc>
        <w:tc>
          <w:tcPr>
            <w:tcW w:w="90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$120.00</w:t>
            </w:r>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$140.00</w:t>
            </w:r>
          </w:p>
        </w:tc>
        <w:tc>
          <w:tcPr>
            <w:tcW w:w="90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$130.00</w:t>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competitive retail offer prices for noncore customers in SCE territory beginning January 1, 2003:</w:t>
      </w:r>
    </w:p>
    <w:p>
      <w:pPr>
        <w:pStyle w:val="Normal"/>
        <w:rPr/>
      </w:pPr>
      <w:r>
        <w:rPr/>
      </w:r>
    </w:p>
    <w:tbl>
      <w:tblPr>
        <w:tblW w:w="6360"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960"/>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960"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1/05/01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$97.00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$92.00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$87.00</w:t>
            </w:r>
          </w:p>
        </w:tc>
        <w:tc>
          <w:tcPr>
            <w:tcW w:w="960"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$103.00</w:t>
            </w:r>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$74.00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$69.00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$65.00</w:t>
            </w:r>
          </w:p>
        </w:tc>
        <w:tc>
          <w:tcPr>
            <w:tcW w:w="960"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$65.00</w:t>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SCE territory beginning January 1, 2003:</w:t>
      </w:r>
    </w:p>
    <w:p>
      <w:pPr>
        <w:pStyle w:val="Normal"/>
        <w:rPr/>
      </w:pPr>
      <w:r>
        <w:rPr/>
      </w:r>
    </w:p>
    <w:tbl>
      <w:tblPr>
        <w:tblW w:w="4440" w:type="dxa"/>
        <w:jc w:val="center"/>
        <w:tblInd w:w="0" w:type="dxa"/>
        <w:tblLayout w:type="fixed"/>
        <w:tblCellMar>
          <w:top w:w="15" w:type="dxa"/>
          <w:start w:w="15" w:type="dxa"/>
          <w:bottom w:w="0" w:type="dxa"/>
          <w:end w:w="15" w:type="dxa"/>
        </w:tblCellMar>
      </w:tblPr>
      <w:tblGrid>
        <w:gridCol w:w="992"/>
        <w:gridCol w:w="661"/>
        <w:gridCol w:w="920"/>
        <w:gridCol w:w="960"/>
        <w:gridCol w:w="90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1/1/03 Rate</w:t>
            </w:r>
          </w:p>
        </w:tc>
        <w:tc>
          <w:tcPr>
            <w:tcW w:w="907" w:type="dxa"/>
            <w:tcBorders>
              <w:top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rPr>
            </w:pPr>
            <w:r>
              <w:rPr>
                <w:rFonts w:cs="Arial" w:ascii="Arial" w:hAnsi="Arial"/>
                <w:sz w:val="20"/>
                <w:szCs w:val="20"/>
              </w:rPr>
              <w:t>1/05/01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0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$137.00</w:t>
            </w:r>
          </w:p>
        </w:tc>
        <w:tc>
          <w:tcPr>
            <w:tcW w:w="90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$127.00</w:t>
            </w:r>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$140.00</w:t>
            </w:r>
          </w:p>
        </w:tc>
        <w:tc>
          <w:tcPr>
            <w:tcW w:w="90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r>
              <w:rPr>
                <w:rFonts w:cs="Arial" w:ascii="Arial" w:hAnsi="Arial"/>
                <w:sz w:val="20"/>
                <w:szCs w:val="20"/>
                <w:highlight w:val="lightGray"/>
              </w:rPr>
              <w:t>$130.00</w:t>
            </w:r>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Heading5"/>
        <w:ind w:hanging="0" w:start="0"/>
        <w:rPr/>
      </w:pPr>
      <w:r>
        <w:rPr/>
        <w:t>Actions needed to create a competitive wholesale market</w:t>
      </w:r>
    </w:p>
    <w:p>
      <w:pPr>
        <w:pStyle w:val="Normal"/>
        <w:rPr/>
      </w:pPr>
      <w:r>
        <w:rPr/>
      </w:r>
    </w:p>
    <w:p>
      <w:pPr>
        <w:pStyle w:val="Normal"/>
        <w:numPr>
          <w:ilvl w:val="0"/>
          <w:numId w:val="21"/>
        </w:numPr>
        <w:rPr/>
      </w:pPr>
      <w:r>
        <w:rPr/>
        <w:t>The California ISO must either (a) incorporate a fully independent Board of Directors or (b) the California transmission assets should join a West region RTO (e.g., assets north of Path 15 join RTO West and assets south of Path 15 join Desert Star RTO).</w:t>
      </w:r>
    </w:p>
    <w:p>
      <w:pPr>
        <w:pStyle w:val="Header"/>
        <w:tabs>
          <w:tab w:val="clear" w:pos="4320"/>
          <w:tab w:val="clear" w:pos="8640"/>
        </w:tabs>
        <w:rPr/>
      </w:pPr>
      <w:r>
        <w:rPr/>
      </w:r>
    </w:p>
    <w:p>
      <w:pPr>
        <w:pStyle w:val="Normal"/>
        <w:numPr>
          <w:ilvl w:val="0"/>
          <w:numId w:val="25"/>
        </w:numPr>
        <w:rPr/>
      </w:pPr>
      <w:r>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Normal"/>
        <w:rPr/>
      </w:pPr>
      <w:r>
        <w:rPr/>
      </w:r>
    </w:p>
    <w:p>
      <w:pPr>
        <w:pStyle w:val="Normal"/>
        <w:numPr>
          <w:ilvl w:val="0"/>
          <w:numId w:val="6"/>
        </w:numPr>
        <w:rPr/>
      </w:pPr>
      <w:r>
        <w:rPr/>
        <w:t>FERC should exert its jurisdiction over the Western interstate grid, including transmission used in bundled retail services.</w:t>
      </w:r>
    </w:p>
    <w:p>
      <w:pPr>
        <w:pStyle w:val="Normal"/>
        <w:rPr/>
      </w:pPr>
      <w:r>
        <w:rPr/>
      </w:r>
    </w:p>
    <w:p>
      <w:pPr>
        <w:pStyle w:val="Normal"/>
        <w:numPr>
          <w:ilvl w:val="0"/>
          <w:numId w:val="23"/>
        </w:numPr>
        <w:rPr/>
      </w:pPr>
      <w:r>
        <w:rPr/>
        <w:t>All users should be placed under the same rates, terms and conditions and take service from a non-discriminatory open access tariff.  This will ensure that the power flows to markets where it is most needed.</w:t>
      </w:r>
    </w:p>
    <w:p>
      <w:pPr>
        <w:pStyle w:val="Normal"/>
        <w:ind w:start="144" w:end="0"/>
        <w:rPr/>
      </w:pPr>
      <w:r>
        <w:rPr/>
      </w:r>
    </w:p>
    <w:p>
      <w:pPr>
        <w:pStyle w:val="Normal"/>
        <w:numPr>
          <w:ilvl w:val="0"/>
          <w:numId w:val="6"/>
        </w:numPr>
        <w:rPr/>
      </w:pPr>
      <w:r>
        <w:rPr/>
        <w:t>FERC should institute a rulemaking proceeding in order to promulgate rules requiring all transmission operators to adopt standardized and accelerated procedures for interconnection of generating facilities, including distributed generation.</w:t>
      </w:r>
    </w:p>
    <w:p>
      <w:pPr>
        <w:pStyle w:val="Normal"/>
        <w:rPr/>
      </w:pPr>
      <w:r>
        <w:rPr/>
      </w:r>
    </w:p>
    <w:p>
      <w:pPr>
        <w:pStyle w:val="Normal"/>
        <w:numPr>
          <w:ilvl w:val="0"/>
          <w:numId w:val="6"/>
        </w:numPr>
        <w:rPr/>
      </w:pPr>
      <w:r>
        <w:rPr/>
        <w:t>Federal funds should be authorized to upgrade the transmission infrastructure (approximately $300 million) on Path 15 between Northern and Southern California.  The project should be performed by WAPA.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25"/>
        </w:numPr>
        <w:rPr/>
      </w:pPr>
      <w:r>
        <w:rPr/>
        <w:t xml:space="preserve">The CPUC should implement retail rates for non-Direct Access commercial and industrial customers with the following characteristics no later than June 1, 2001 –  </w:t>
      </w:r>
    </w:p>
    <w:p>
      <w:pPr>
        <w:pStyle w:val="Normal"/>
        <w:numPr>
          <w:ilvl w:val="0"/>
          <w:numId w:val="9"/>
        </w:numPr>
        <w:rPr/>
      </w:pPr>
      <w:r>
        <w:rPr/>
        <w:t xml:space="preserve">Provide price signals necessary to incent voluntary load curtailment, </w:t>
      </w:r>
    </w:p>
    <w:p>
      <w:pPr>
        <w:pStyle w:val="Normal"/>
        <w:numPr>
          <w:ilvl w:val="0"/>
          <w:numId w:val="9"/>
        </w:numPr>
        <w:rPr/>
      </w:pPr>
      <w:r>
        <w:rPr/>
        <w:t xml:space="preserve">Achieve necessary revenue requirements, </w:t>
      </w:r>
    </w:p>
    <w:p>
      <w:pPr>
        <w:pStyle w:val="Normal"/>
        <w:numPr>
          <w:ilvl w:val="0"/>
          <w:numId w:val="9"/>
        </w:numPr>
        <w:rPr/>
      </w:pPr>
      <w:r>
        <w:rPr/>
        <w:t xml:space="preserve">Treat all customer and rate classes in a fair manner; and </w:t>
      </w:r>
    </w:p>
    <w:p>
      <w:pPr>
        <w:pStyle w:val="Normal"/>
        <w:numPr>
          <w:ilvl w:val="0"/>
          <w:numId w:val="9"/>
        </w:numPr>
        <w:rPr/>
      </w:pPr>
      <w:r>
        <w:rPr/>
        <w:t>Are easily understood.</w:t>
      </w:r>
    </w:p>
    <w:p>
      <w:pPr>
        <w:pStyle w:val="Normal"/>
        <w:rPr/>
      </w:pPr>
      <w:r>
        <w:rPr/>
      </w:r>
    </w:p>
    <w:p>
      <w:pPr>
        <w:pStyle w:val="Normal"/>
        <w:numPr>
          <w:ilvl w:val="0"/>
          <w:numId w:val="22"/>
        </w:numPr>
        <w:rPr/>
      </w:pPr>
      <w:r>
        <w:rPr>
          <w:b/>
          <w:bCs/>
          <w:i/>
          <w:iCs/>
        </w:rPr>
        <w:t>How to provide proper price signals?</w:t>
      </w:r>
      <w:r>
        <w:rPr/>
        <w:t xml:space="preserve">  The CPUC should base the new retail rate design on “real-time pricing” implemented through a two-part tariff</w:t>
      </w:r>
    </w:p>
    <w:p>
      <w:pPr>
        <w:pStyle w:val="Normal"/>
        <w:rPr/>
      </w:pPr>
      <w:r>
        <w:rPr/>
      </w:r>
    </w:p>
    <w:p>
      <w:pPr>
        <w:pStyle w:val="Normal"/>
        <w:numPr>
          <w:ilvl w:val="1"/>
          <w:numId w:val="22"/>
        </w:numPr>
        <w:rPr/>
      </w:pPr>
      <w:r>
        <w:rPr/>
        <w:t>Prices per kilowatthour would not change (from today’s rates) if a customer consumes at the baseline level,</w:t>
      </w:r>
    </w:p>
    <w:p>
      <w:pPr>
        <w:pStyle w:val="Normal"/>
        <w:numPr>
          <w:ilvl w:val="1"/>
          <w:numId w:val="22"/>
        </w:numPr>
        <w:rPr/>
      </w:pPr>
      <w:r>
        <w:rPr/>
        <w:t>Consumption above the baseline level would be charged market prices based on the DJ Index;</w:t>
      </w:r>
    </w:p>
    <w:p>
      <w:pPr>
        <w:pStyle w:val="Normal"/>
        <w:numPr>
          <w:ilvl w:val="1"/>
          <w:numId w:val="22"/>
        </w:numPr>
        <w:rPr/>
      </w:pPr>
      <w:r>
        <w:rPr/>
        <w:t>Consumption below the baseline level would be compensated at market prices based on the DJ Index, in effect allowing consumers who reduce their load below the baseline level to be paid (“Demand Buy-Down”);</w:t>
      </w:r>
    </w:p>
    <w:p>
      <w:pPr>
        <w:pStyle w:val="Normal"/>
        <w:numPr>
          <w:ilvl w:val="1"/>
          <w:numId w:val="22"/>
        </w:numPr>
        <w:rPr/>
      </w:pPr>
      <w:r>
        <w:rPr/>
        <w:t>Given today’s estimate of market prices, such a baseline level would equate to 87% of 2000 consumption.</w:t>
      </w:r>
    </w:p>
    <w:p>
      <w:pPr>
        <w:pStyle w:val="Normal"/>
        <w:rPr/>
      </w:pPr>
      <w:r>
        <w:rPr/>
      </w:r>
    </w:p>
    <w:p>
      <w:pPr>
        <w:pStyle w:val="Normal"/>
        <w:numPr>
          <w:ilvl w:val="0"/>
          <w:numId w:val="22"/>
        </w:numPr>
        <w:rPr/>
      </w:pPr>
      <w:r>
        <w:rPr/>
        <w:t xml:space="preserve">Reconcile all other load curtailment programs (e.g., the Governor’s 20/20 plan, California ISO, etc.) with new retail rate designs – do not pay for same load reductions twice. </w:t>
      </w:r>
    </w:p>
    <w:p>
      <w:pPr>
        <w:pStyle w:val="Header"/>
        <w:tabs>
          <w:tab w:val="clear" w:pos="4320"/>
          <w:tab w:val="clear" w:pos="8640"/>
        </w:tabs>
        <w:rPr/>
      </w:pPr>
      <w:r>
        <w:rPr/>
      </w:r>
    </w:p>
    <w:p>
      <w:pPr>
        <w:pStyle w:val="Normal"/>
        <w:numPr>
          <w:ilvl w:val="0"/>
          <w:numId w:val="22"/>
        </w:numPr>
        <w:rPr/>
      </w:pPr>
      <w:r>
        <w:rPr/>
        <w:t xml:space="preserve">Until the CPUC and Utilities are able to implement this new retail rate design, CDWR should implement a “Demand Buy-Down” program.  </w:t>
      </w:r>
    </w:p>
    <w:p>
      <w:pPr>
        <w:pStyle w:val="Normal"/>
        <w:rPr/>
      </w:pPr>
      <w:r>
        <w:rPr/>
      </w:r>
    </w:p>
    <w:p>
      <w:pPr>
        <w:pStyle w:val="Normal"/>
        <w:numPr>
          <w:ilvl w:val="1"/>
          <w:numId w:val="22"/>
        </w:numPr>
        <w:rPr/>
      </w:pPr>
      <w:r>
        <w:rPr/>
        <w:t>Customers who reduce their load to 0 kw would be paid 100% of DJ Index market prices times kw load last year same time;</w:t>
      </w:r>
    </w:p>
    <w:p>
      <w:pPr>
        <w:pStyle w:val="Normal"/>
        <w:numPr>
          <w:ilvl w:val="1"/>
          <w:numId w:val="22"/>
        </w:numPr>
        <w:rPr/>
      </w:pPr>
      <w:r>
        <w:rPr/>
        <w:t>Customers who reduce their load by greater than 50% would be paid 75% of DJ Index market prices times kw load last year same time less current load;</w:t>
      </w:r>
    </w:p>
    <w:p>
      <w:pPr>
        <w:pStyle w:val="Normal"/>
        <w:numPr>
          <w:ilvl w:val="1"/>
          <w:numId w:val="22"/>
        </w:numPr>
        <w:rPr/>
      </w:pPr>
      <w:r>
        <w:rPr/>
        <w:t>Customers who reduce their load by less than 50% would be paid 50% of DJ Index market prices times kw load last year same time less current load;</w:t>
      </w:r>
    </w:p>
    <w:p>
      <w:pPr>
        <w:pStyle w:val="Normal"/>
        <w:numPr>
          <w:ilvl w:val="1"/>
          <w:numId w:val="22"/>
        </w:numPr>
        <w:rPr/>
      </w:pPr>
      <w:r>
        <w:rPr/>
        <w:t>Customers must inform Utility with 24 hour notice of scheduled load;</w:t>
      </w:r>
    </w:p>
    <w:p>
      <w:pPr>
        <w:pStyle w:val="Normal"/>
        <w:numPr>
          <w:ilvl w:val="1"/>
          <w:numId w:val="22"/>
        </w:numPr>
        <w:rPr/>
      </w:pPr>
      <w:r>
        <w:rPr/>
        <w:t>Customers who consume greater than 10% of scheduled load pay 125% of DJ Index for all kWh consumed.</w:t>
      </w:r>
    </w:p>
    <w:p>
      <w:pPr>
        <w:pStyle w:val="Normal"/>
        <w:rPr/>
      </w:pPr>
      <w:r>
        <w:rPr/>
      </w:r>
    </w:p>
    <w:p>
      <w:pPr>
        <w:pStyle w:val="Normal"/>
        <w:numPr>
          <w:ilvl w:val="0"/>
          <w:numId w:val="22"/>
        </w:numPr>
        <w:rPr/>
      </w:pPr>
      <w:r>
        <w:rPr/>
        <w:t>FERC should implement a “Demand Buy-Down” program for all non-California customers in the Western power markets to create incentives to reduce load until January 1, 2003.</w:t>
      </w:r>
    </w:p>
    <w:p>
      <w:pPr>
        <w:pStyle w:val="Normal"/>
        <w:rPr/>
      </w:pPr>
      <w:r>
        <w:rPr/>
      </w:r>
    </w:p>
    <w:p>
      <w:pPr>
        <w:pStyle w:val="Normal"/>
        <w:numPr>
          <w:ilvl w:val="0"/>
          <w:numId w:val="22"/>
        </w:numPr>
        <w:rPr/>
      </w:pPr>
      <w:r>
        <w:rPr>
          <w:b/>
          <w:bCs/>
          <w:i/>
          <w:iCs/>
        </w:rPr>
        <w:t>How to ensure the necessary revenues?</w:t>
      </w:r>
      <w:r>
        <w:rPr/>
        <w:t xml:space="preserve">  If retail revenues from these rates are insufficient to cover costs going forward, the CPUC should reduce the baseline level by a sufficient percentage to increase revenues (consumers should be provided with a one-month notice to attempt to make adjustments).</w:t>
      </w:r>
    </w:p>
    <w:p>
      <w:pPr>
        <w:pStyle w:val="BodyText"/>
        <w:ind w:firstLine="720" w:start="3600" w:end="0"/>
        <w:rPr>
          <w:sz w:val="20"/>
        </w:rPr>
      </w:pPr>
      <w:r>
        <w:rPr>
          <w:sz w:val="20"/>
        </w:rPr>
      </w:r>
    </w:p>
    <w:p>
      <w:pPr>
        <w:pStyle w:val="BodyText"/>
        <w:jc w:val="center"/>
        <w:rPr>
          <w:b/>
          <w:bCs/>
          <w:sz w:val="24"/>
        </w:rPr>
      </w:pPr>
      <w:r>
        <w:rPr>
          <w:b/>
          <w:bCs/>
          <w:sz w:val="24"/>
        </w:rPr>
        <w:t>Baseline Changes Assuming .25 cent Increase in Surcharge</w:t>
      </w:r>
    </w:p>
    <w:p>
      <w:pPr>
        <w:pStyle w:val="BodyText"/>
        <w:jc w:val="center"/>
        <w:rPr>
          <w:b/>
          <w:bCs/>
          <w:sz w:val="24"/>
        </w:rPr>
      </w:pPr>
      <w:r>
        <w:rPr>
          <w:b/>
          <w:bCs/>
          <w:sz w:val="24"/>
        </w:rPr>
      </w:r>
    </w:p>
    <w:tbl>
      <w:tblPr>
        <w:tblW w:w="4320" w:type="dxa"/>
        <w:jc w:val="start"/>
        <w:tblInd w:w="2268" w:type="dxa"/>
        <w:tblLayout w:type="fixed"/>
        <w:tblCellMar>
          <w:top w:w="0" w:type="dxa"/>
          <w:start w:w="108" w:type="dxa"/>
          <w:bottom w:w="0" w:type="dxa"/>
          <w:end w:w="108" w:type="dxa"/>
        </w:tblCellMar>
      </w:tblPr>
      <w:tblGrid>
        <w:gridCol w:w="1440"/>
        <w:gridCol w:w="1440"/>
        <w:gridCol w:w="1440"/>
      </w:tblGrid>
      <w:tr>
        <w:trPr/>
        <w:tc>
          <w:tcPr>
            <w:tcW w:w="1440" w:type="dxa"/>
            <w:tcBorders>
              <w:top w:val="single" w:sz="4" w:space="0" w:color="000000"/>
              <w:start w:val="single" w:sz="4" w:space="0" w:color="000000"/>
            </w:tcBorders>
            <w:shd w:fill="8C8C8C" w:val="clear"/>
          </w:tcPr>
          <w:p>
            <w:pPr>
              <w:pStyle w:val="BodyText"/>
              <w:jc w:val="center"/>
              <w:rPr>
                <w:b/>
                <w:bCs/>
                <w:sz w:val="24"/>
              </w:rPr>
            </w:pPr>
            <w:r>
              <w:rPr>
                <w:b/>
                <w:bCs/>
                <w:sz w:val="24"/>
              </w:rPr>
              <w:t>Surcharge</w:t>
            </w:r>
          </w:p>
        </w:tc>
        <w:tc>
          <w:tcPr>
            <w:tcW w:w="1440" w:type="dxa"/>
            <w:tcBorders>
              <w:top w:val="single" w:sz="4" w:space="0" w:color="000000"/>
            </w:tcBorders>
            <w:shd w:fill="8C8C8C" w:val="clear"/>
          </w:tcPr>
          <w:p>
            <w:pPr>
              <w:pStyle w:val="BodyText"/>
              <w:jc w:val="center"/>
              <w:rPr>
                <w:b/>
                <w:bCs/>
                <w:sz w:val="24"/>
              </w:rPr>
            </w:pPr>
            <w:r>
              <w:rPr>
                <w:b/>
                <w:bCs/>
                <w:sz w:val="24"/>
              </w:rPr>
              <w:t>% Change</w:t>
            </w:r>
          </w:p>
        </w:tc>
        <w:tc>
          <w:tcPr>
            <w:tcW w:w="1440" w:type="dxa"/>
            <w:tcBorders>
              <w:top w:val="single" w:sz="4" w:space="0" w:color="000000"/>
              <w:end w:val="single" w:sz="4" w:space="0" w:color="000000"/>
            </w:tcBorders>
            <w:shd w:fill="8C8C8C" w:val="clear"/>
          </w:tcPr>
          <w:p>
            <w:pPr>
              <w:pStyle w:val="BodyText"/>
              <w:jc w:val="center"/>
              <w:rPr>
                <w:b/>
                <w:bCs/>
                <w:sz w:val="24"/>
              </w:rPr>
            </w:pPr>
            <w:r>
              <w:rPr>
                <w:b/>
                <w:bCs/>
                <w:sz w:val="24"/>
              </w:rPr>
              <w:t>Baseline %</w:t>
            </w:r>
          </w:p>
        </w:tc>
      </w:tr>
      <w:tr>
        <w:trPr/>
        <w:tc>
          <w:tcPr>
            <w:tcW w:w="1440" w:type="dxa"/>
            <w:tcBorders>
              <w:start w:val="single" w:sz="4" w:space="0" w:color="000000"/>
            </w:tcBorders>
            <w:shd w:fill="8C8C8C" w:val="clear"/>
          </w:tcPr>
          <w:p>
            <w:pPr>
              <w:pStyle w:val="BodyText"/>
              <w:jc w:val="center"/>
              <w:rPr>
                <w:b/>
                <w:bCs/>
                <w:color w:val="C0C0C0"/>
                <w:sz w:val="24"/>
              </w:rPr>
            </w:pPr>
            <w:r>
              <w:rPr>
                <w:b/>
                <w:bCs/>
                <w:color w:val="C0C0C0"/>
                <w:sz w:val="24"/>
              </w:rPr>
              <w:t>3 cents</w:t>
            </w:r>
          </w:p>
        </w:tc>
        <w:tc>
          <w:tcPr>
            <w:tcW w:w="1440" w:type="dxa"/>
            <w:tcBorders/>
            <w:shd w:fill="8C8C8C" w:val="clear"/>
          </w:tcPr>
          <w:p>
            <w:pPr>
              <w:pStyle w:val="BodyText"/>
              <w:snapToGrid w:val="false"/>
              <w:jc w:val="center"/>
              <w:rPr>
                <w:b/>
                <w:bCs/>
                <w:color w:val="C0C0C0"/>
                <w:sz w:val="24"/>
              </w:rPr>
            </w:pPr>
            <w:r>
              <w:rPr>
                <w:b/>
                <w:bCs/>
                <w:color w:val="C0C0C0"/>
                <w:sz w:val="24"/>
              </w:rPr>
            </w:r>
          </w:p>
        </w:tc>
        <w:tc>
          <w:tcPr>
            <w:tcW w:w="1440" w:type="dxa"/>
            <w:tcBorders>
              <w:end w:val="single" w:sz="4" w:space="0" w:color="000000"/>
            </w:tcBorders>
            <w:shd w:fill="8C8C8C" w:val="clear"/>
          </w:tcPr>
          <w:p>
            <w:pPr>
              <w:pStyle w:val="BodyText"/>
              <w:jc w:val="center"/>
              <w:rPr>
                <w:b/>
                <w:bCs/>
                <w:color w:val="C0C0C0"/>
                <w:sz w:val="24"/>
              </w:rPr>
            </w:pPr>
            <w:r>
              <w:rPr>
                <w:b/>
                <w:bCs/>
                <w:color w:val="C0C0C0"/>
                <w:sz w:val="24"/>
              </w:rPr>
              <w:t>87%</w:t>
            </w:r>
          </w:p>
        </w:tc>
      </w:tr>
      <w:tr>
        <w:trPr/>
        <w:tc>
          <w:tcPr>
            <w:tcW w:w="1440" w:type="dxa"/>
            <w:tcBorders>
              <w:start w:val="single" w:sz="4" w:space="0" w:color="000000"/>
            </w:tcBorders>
            <w:shd w:fill="BFBFBF" w:val="clear"/>
          </w:tcPr>
          <w:p>
            <w:pPr>
              <w:pStyle w:val="BodyText"/>
              <w:jc w:val="center"/>
              <w:rPr>
                <w:b/>
                <w:bCs/>
                <w:sz w:val="24"/>
              </w:rPr>
            </w:pPr>
            <w:r>
              <w:rPr>
                <w:b/>
                <w:bCs/>
                <w:sz w:val="24"/>
              </w:rPr>
              <w:t>.25</w:t>
            </w:r>
          </w:p>
        </w:tc>
        <w:tc>
          <w:tcPr>
            <w:tcW w:w="1440" w:type="dxa"/>
            <w:tcBorders/>
            <w:shd w:fill="BFBFBF" w:val="clear"/>
          </w:tcPr>
          <w:p>
            <w:pPr>
              <w:pStyle w:val="BodyText"/>
              <w:jc w:val="center"/>
              <w:rPr>
                <w:b/>
                <w:bCs/>
                <w:sz w:val="24"/>
              </w:rPr>
            </w:pPr>
            <w:r>
              <w:rPr>
                <w:b/>
                <w:bCs/>
                <w:sz w:val="24"/>
              </w:rPr>
              <w:t>(1%)</w:t>
            </w:r>
          </w:p>
        </w:tc>
        <w:tc>
          <w:tcPr>
            <w:tcW w:w="1440" w:type="dxa"/>
            <w:tcBorders>
              <w:end w:val="single" w:sz="4" w:space="0" w:color="000000"/>
            </w:tcBorders>
            <w:shd w:fill="BFBFBF" w:val="clear"/>
          </w:tcPr>
          <w:p>
            <w:pPr>
              <w:pStyle w:val="BodyText"/>
              <w:jc w:val="center"/>
              <w:rPr>
                <w:b/>
                <w:bCs/>
                <w:sz w:val="24"/>
              </w:rPr>
            </w:pPr>
            <w:r>
              <w:rPr>
                <w:b/>
                <w:bCs/>
                <w:sz w:val="24"/>
              </w:rPr>
              <w:t>86%</w:t>
            </w:r>
          </w:p>
        </w:tc>
      </w:tr>
      <w:tr>
        <w:trPr/>
        <w:tc>
          <w:tcPr>
            <w:tcW w:w="1440" w:type="dxa"/>
            <w:tcBorders>
              <w:start w:val="single" w:sz="4" w:space="0" w:color="000000"/>
            </w:tcBorders>
            <w:shd w:fill="BFBFBF" w:val="clear"/>
          </w:tcPr>
          <w:p>
            <w:pPr>
              <w:pStyle w:val="BodyText"/>
              <w:jc w:val="center"/>
              <w:rPr>
                <w:b/>
                <w:bCs/>
                <w:sz w:val="24"/>
              </w:rPr>
            </w:pPr>
            <w:r>
              <w:rPr>
                <w:b/>
                <w:bCs/>
                <w:sz w:val="24"/>
              </w:rPr>
              <w:t>.50</w:t>
            </w:r>
          </w:p>
        </w:tc>
        <w:tc>
          <w:tcPr>
            <w:tcW w:w="1440" w:type="dxa"/>
            <w:tcBorders/>
            <w:shd w:fill="BFBFBF" w:val="clear"/>
          </w:tcPr>
          <w:p>
            <w:pPr>
              <w:pStyle w:val="BodyText"/>
              <w:jc w:val="center"/>
              <w:rPr>
                <w:b/>
                <w:bCs/>
                <w:sz w:val="24"/>
              </w:rPr>
            </w:pPr>
            <w:r>
              <w:rPr>
                <w:b/>
                <w:bCs/>
                <w:sz w:val="24"/>
              </w:rPr>
              <w:t>(2%)</w:t>
            </w:r>
          </w:p>
        </w:tc>
        <w:tc>
          <w:tcPr>
            <w:tcW w:w="1440" w:type="dxa"/>
            <w:tcBorders>
              <w:end w:val="single" w:sz="4" w:space="0" w:color="000000"/>
            </w:tcBorders>
            <w:shd w:fill="BFBFBF" w:val="clear"/>
          </w:tcPr>
          <w:p>
            <w:pPr>
              <w:pStyle w:val="BodyText"/>
              <w:jc w:val="center"/>
              <w:rPr>
                <w:b/>
                <w:bCs/>
                <w:sz w:val="24"/>
              </w:rPr>
            </w:pPr>
            <w:r>
              <w:rPr>
                <w:b/>
                <w:bCs/>
                <w:sz w:val="24"/>
              </w:rPr>
              <w:t>85%</w:t>
            </w:r>
          </w:p>
        </w:tc>
      </w:tr>
      <w:tr>
        <w:trPr/>
        <w:tc>
          <w:tcPr>
            <w:tcW w:w="1440" w:type="dxa"/>
            <w:tcBorders>
              <w:start w:val="single" w:sz="4" w:space="0" w:color="000000"/>
            </w:tcBorders>
            <w:shd w:fill="BFBFBF" w:val="clear"/>
          </w:tcPr>
          <w:p>
            <w:pPr>
              <w:pStyle w:val="BodyText"/>
              <w:jc w:val="center"/>
              <w:rPr>
                <w:b/>
                <w:bCs/>
                <w:sz w:val="24"/>
              </w:rPr>
            </w:pPr>
            <w:r>
              <w:rPr>
                <w:b/>
                <w:bCs/>
                <w:sz w:val="24"/>
              </w:rPr>
              <w:t>.75</w:t>
            </w:r>
          </w:p>
        </w:tc>
        <w:tc>
          <w:tcPr>
            <w:tcW w:w="1440" w:type="dxa"/>
            <w:tcBorders/>
            <w:shd w:fill="BFBFBF" w:val="clear"/>
          </w:tcPr>
          <w:p>
            <w:pPr>
              <w:pStyle w:val="BodyText"/>
              <w:jc w:val="center"/>
              <w:rPr>
                <w:b/>
                <w:bCs/>
                <w:sz w:val="24"/>
              </w:rPr>
            </w:pPr>
            <w:r>
              <w:rPr>
                <w:b/>
                <w:bCs/>
                <w:sz w:val="24"/>
              </w:rPr>
              <w:t>(3%)</w:t>
            </w:r>
          </w:p>
        </w:tc>
        <w:tc>
          <w:tcPr>
            <w:tcW w:w="1440" w:type="dxa"/>
            <w:tcBorders>
              <w:end w:val="single" w:sz="4" w:space="0" w:color="000000"/>
            </w:tcBorders>
            <w:shd w:fill="BFBFBF" w:val="clear"/>
          </w:tcPr>
          <w:p>
            <w:pPr>
              <w:pStyle w:val="BodyText"/>
              <w:jc w:val="center"/>
              <w:rPr>
                <w:b/>
                <w:bCs/>
                <w:sz w:val="24"/>
              </w:rPr>
            </w:pPr>
            <w:r>
              <w:rPr>
                <w:b/>
                <w:bCs/>
                <w:sz w:val="24"/>
              </w:rPr>
              <w:t>84%</w:t>
            </w:r>
          </w:p>
        </w:tc>
      </w:tr>
      <w:tr>
        <w:trPr/>
        <w:tc>
          <w:tcPr>
            <w:tcW w:w="1440" w:type="dxa"/>
            <w:tcBorders>
              <w:start w:val="single" w:sz="4" w:space="0" w:color="000000"/>
              <w:bottom w:val="single" w:sz="4" w:space="0" w:color="000000"/>
            </w:tcBorders>
            <w:shd w:fill="BFBFBF" w:val="clear"/>
          </w:tcPr>
          <w:p>
            <w:pPr>
              <w:pStyle w:val="BodyText"/>
              <w:jc w:val="center"/>
              <w:rPr>
                <w:b/>
                <w:bCs/>
                <w:sz w:val="24"/>
              </w:rPr>
            </w:pPr>
            <w:r>
              <w:rPr>
                <w:b/>
                <w:bCs/>
                <w:sz w:val="24"/>
              </w:rPr>
              <w:t>1.00</w:t>
            </w:r>
          </w:p>
        </w:tc>
        <w:tc>
          <w:tcPr>
            <w:tcW w:w="1440" w:type="dxa"/>
            <w:tcBorders>
              <w:bottom w:val="single" w:sz="4" w:space="0" w:color="000000"/>
            </w:tcBorders>
            <w:shd w:fill="BFBFBF" w:val="clear"/>
          </w:tcPr>
          <w:p>
            <w:pPr>
              <w:pStyle w:val="BodyText"/>
              <w:jc w:val="center"/>
              <w:rPr>
                <w:b/>
                <w:bCs/>
                <w:sz w:val="24"/>
              </w:rPr>
            </w:pPr>
            <w:r>
              <w:rPr>
                <w:b/>
                <w:bCs/>
                <w:sz w:val="24"/>
              </w:rPr>
              <w:t>(4%)</w:t>
            </w:r>
          </w:p>
        </w:tc>
        <w:tc>
          <w:tcPr>
            <w:tcW w:w="1440" w:type="dxa"/>
            <w:tcBorders>
              <w:bottom w:val="single" w:sz="4" w:space="0" w:color="000000"/>
              <w:end w:val="single" w:sz="4" w:space="0" w:color="000000"/>
            </w:tcBorders>
            <w:shd w:fill="BFBFBF" w:val="clear"/>
          </w:tcPr>
          <w:p>
            <w:pPr>
              <w:pStyle w:val="BodyText"/>
              <w:jc w:val="center"/>
              <w:rPr>
                <w:b/>
                <w:bCs/>
                <w:sz w:val="24"/>
              </w:rPr>
            </w:pPr>
            <w:r>
              <w:rPr>
                <w:b/>
                <w:bCs/>
                <w:sz w:val="24"/>
              </w:rPr>
              <w:t>83%</w:t>
            </w:r>
          </w:p>
        </w:tc>
      </w:tr>
    </w:tbl>
    <w:p>
      <w:pPr>
        <w:pStyle w:val="BodyText"/>
        <w:jc w:val="center"/>
        <w:rPr>
          <w:b/>
          <w:bCs/>
          <w:sz w:val="24"/>
        </w:rPr>
      </w:pPr>
      <w:r>
        <w:rPr>
          <w:b/>
          <w:bCs/>
          <w:sz w:val="24"/>
        </w:rPr>
      </w:r>
    </w:p>
    <w:p>
      <w:pPr>
        <w:pStyle w:val="Header"/>
        <w:tabs>
          <w:tab w:val="clear" w:pos="4320"/>
          <w:tab w:val="clear" w:pos="8640"/>
        </w:tabs>
        <w:rPr>
          <w:b/>
          <w:bCs/>
          <w:sz w:val="24"/>
        </w:rPr>
      </w:pPr>
      <w:r>
        <w:rPr>
          <w:b/>
          <w:bCs/>
          <w:sz w:val="24"/>
        </w:rPr>
      </w:r>
    </w:p>
    <w:p>
      <w:pPr>
        <w:pStyle w:val="Heading1"/>
        <w:numPr>
          <w:ilvl w:val="0"/>
          <w:numId w:val="4"/>
        </w:numPr>
        <w:rPr>
          <w:b w:val="false"/>
          <w:bCs w:val="false"/>
          <w:u w:val="none"/>
        </w:rPr>
      </w:pPr>
      <w:r>
        <w:rPr>
          <w:i/>
          <w:iCs/>
          <w:u w:val="none"/>
        </w:rPr>
        <w:t>How to allocate fairly the costs?</w:t>
      </w:r>
      <w:r>
        <w:rPr>
          <w:b w:val="false"/>
          <w:bCs w:val="false"/>
          <w:u w:val="none"/>
        </w:rPr>
        <w:t xml:space="preserve">  The proportion of the revenue requirement assigned to the different classes will have an impact on the baseline level.  The table below estimates the impact of applying this retail rate design to the revenue allocations put forth by the California Large Energy Consumers Association (CLECA) and the California Office of Ratepayer Advocates (ORA).</w:t>
      </w:r>
    </w:p>
    <w:p>
      <w:pPr>
        <w:pStyle w:val="Normal"/>
        <w:rPr>
          <w:b/>
          <w:bCs/>
          <w:u w:val="none"/>
        </w:rPr>
      </w:pPr>
      <w:r>
        <w:rPr>
          <w:b/>
          <w:bCs/>
          <w:u w:val="none"/>
        </w:rPr>
      </w:r>
    </w:p>
    <w:p>
      <w:pPr>
        <w:pStyle w:val="Heading4"/>
        <w:ind w:hanging="0" w:start="0"/>
        <w:rPr>
          <w:b w:val="false"/>
          <w:bCs w:val="false"/>
        </w:rPr>
      </w:pPr>
      <w:r>
        <w:rPr>
          <w:b w:val="false"/>
          <w:bCs w:val="false"/>
        </w:rPr>
      </w:r>
    </w:p>
    <w:p>
      <w:pPr>
        <w:pStyle w:val="Heading4"/>
        <w:ind w:hanging="0" w:start="0"/>
        <w:rPr/>
      </w:pPr>
      <w:r>
        <w:rPr/>
      </w:r>
    </w:p>
    <w:p>
      <w:pPr>
        <w:pStyle w:val="Heading4"/>
        <w:ind w:hanging="0" w:start="0"/>
        <w:rPr/>
      </w:pPr>
      <w:r>
        <w:rPr/>
      </w:r>
    </w:p>
    <w:p>
      <w:pPr>
        <w:pStyle w:val="Heading4"/>
        <w:ind w:hanging="0" w:start="0"/>
        <w:rPr/>
      </w:pPr>
      <w:r>
        <w:rPr/>
        <w:t>Baseline Level For Commercial &amp; Industrial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4"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Cs w:val="20"/>
              </w:rPr>
            </w:pPr>
            <w:r>
              <w:rPr>
                <w:b/>
                <w:bCs/>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Cs w:val="20"/>
              </w:rPr>
            </w:pPr>
            <w:r>
              <w:rPr>
                <w:b/>
                <w:bCs/>
                <w:szCs w:val="20"/>
              </w:rPr>
              <w:t>88%</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Cs w:val="20"/>
              </w:rPr>
            </w:pPr>
            <w:r>
              <w:rPr>
                <w:b/>
                <w:bCs/>
                <w:szCs w:val="20"/>
              </w:rPr>
              <w:t>84%</w:t>
            </w:r>
          </w:p>
        </w:tc>
        <w:tc>
          <w:tcPr>
            <w:tcW w:w="1232" w:type="dxa"/>
            <w:tcBorders>
              <w:bottom w:val="single" w:sz="4" w:space="0" w:color="000000"/>
            </w:tcBorders>
            <w:shd w:fill="C0C0C0" w:val="clear"/>
            <w:vAlign w:val="bottom"/>
          </w:tcPr>
          <w:p>
            <w:pPr>
              <w:pStyle w:val="Normal"/>
              <w:jc w:val="center"/>
              <w:rPr>
                <w:rFonts w:eastAsia="Arial Unicode MS"/>
                <w:b/>
                <w:bCs/>
                <w:szCs w:val="20"/>
              </w:rPr>
            </w:pPr>
            <w:r>
              <w:rPr>
                <w:b/>
                <w:bCs/>
                <w:szCs w:val="20"/>
              </w:rPr>
              <w:t>89%</w:t>
            </w:r>
          </w:p>
        </w:tc>
        <w:tc>
          <w:tcPr>
            <w:tcW w:w="968" w:type="dxa"/>
            <w:tcBorders>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84%</w:t>
            </w:r>
          </w:p>
        </w:tc>
      </w:tr>
    </w:tbl>
    <w:p>
      <w:pPr>
        <w:pStyle w:val="BodyText"/>
        <w:ind w:firstLine="720" w:start="3600" w:end="0"/>
        <w:rPr>
          <w:sz w:val="20"/>
        </w:rPr>
      </w:pPr>
      <w:r>
        <w:rPr>
          <w:sz w:val="20"/>
        </w:rPr>
        <w:t>*Assumes TURN allocation methodology</w:t>
      </w:r>
    </w:p>
    <w:p>
      <w:pPr>
        <w:pStyle w:val="Normal"/>
        <w:rPr>
          <w:sz w:val="20"/>
        </w:rPr>
      </w:pPr>
      <w:r>
        <w:rPr>
          <w:sz w:val="20"/>
        </w:rPr>
      </w:r>
    </w:p>
    <w:p>
      <w:pPr>
        <w:pStyle w:val="Normal"/>
        <w:jc w:val="center"/>
        <w:rPr>
          <w:b/>
          <w:bCs/>
        </w:rPr>
      </w:pPr>
      <w:r>
        <w:rPr>
          <w:b/>
          <w:bCs/>
        </w:rPr>
        <w:t>Whose Rate Increases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sz w:val="20"/>
        </w:rPr>
      </w:pPr>
      <w:r>
        <w:rPr>
          <w:sz w:val="20"/>
        </w:rPr>
        <w:t>*Assumes TURN allocation methodology</w:t>
      </w:r>
    </w:p>
    <w:p>
      <w:pPr>
        <w:pStyle w:val="Normal"/>
        <w:rPr>
          <w:sz w:val="20"/>
        </w:rPr>
      </w:pPr>
      <w:r>
        <w:rPr>
          <w:sz w:val="20"/>
        </w:rPr>
      </w:r>
    </w:p>
    <w:p>
      <w:pPr>
        <w:pStyle w:val="Normal"/>
        <w:numPr>
          <w:ilvl w:val="0"/>
          <w:numId w:val="26"/>
        </w:numPr>
        <w:rPr/>
      </w:pPr>
      <w:r>
        <w:rPr>
          <w:b/>
          <w:bCs/>
          <w:i/>
          <w:iCs/>
        </w:rPr>
        <w:t>How to make sure customers understand?</w:t>
      </w:r>
      <w:r>
        <w:rPr/>
        <w:t xml:space="preserve">  Until the Utilities are able to implement this new retail rate design, all rate increases should be implemented on a simple $/Mwh basis (similar to the January 5, 2001 increase) to provide consistency and simplicity.</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24"/>
        </w:numPr>
        <w:rPr/>
      </w:pPr>
      <w:r>
        <w:rPr/>
        <w:t>Retail rates must restore creditworthiness to both CDWR and Utilities to provide for increased reliability and lower prices.</w:t>
      </w:r>
    </w:p>
    <w:p>
      <w:pPr>
        <w:pStyle w:val="Normal"/>
        <w:ind w:start="144" w:end="0"/>
        <w:rPr/>
      </w:pPr>
      <w:r>
        <w:rPr/>
      </w:r>
    </w:p>
    <w:p>
      <w:pPr>
        <w:pStyle w:val="Normal"/>
        <w:numPr>
          <w:ilvl w:val="0"/>
          <w:numId w:val="23"/>
        </w:numPr>
        <w:rPr/>
      </w:pPr>
      <w:r>
        <w:rPr/>
        <w:t>Allows suppliers to enter into medium-term and long-term contracts without charging credit premium.</w:t>
      </w:r>
    </w:p>
    <w:p>
      <w:pPr>
        <w:pStyle w:val="Normal"/>
        <w:ind w:hanging="360" w:start="936" w:end="0"/>
        <w:rPr/>
      </w:pPr>
      <w:r>
        <w:rPr/>
        <w:t>-</w:t>
        <w:tab/>
        <w:t xml:space="preserve">Keeps QF plants operating this summer to increase supply. </w:t>
      </w:r>
    </w:p>
    <w:p>
      <w:pPr>
        <w:pStyle w:val="Normal"/>
        <w:ind w:start="144" w:end="0"/>
        <w:rPr/>
      </w:pPr>
      <w:r>
        <w:rPr/>
      </w:r>
    </w:p>
    <w:p>
      <w:pPr>
        <w:pStyle w:val="Normal"/>
        <w:numPr>
          <w:ilvl w:val="0"/>
          <w:numId w:val="24"/>
        </w:numPr>
        <w:rPr/>
      </w:pPr>
      <w:r>
        <w:rPr/>
        <w:t>Retail rates must be sufficient to cover going forward procurement costs for Utility retained generation, QF contract costs, and CDWR contract costs.</w:t>
      </w:r>
    </w:p>
    <w:p>
      <w:pPr>
        <w:pStyle w:val="Normal"/>
        <w:rPr/>
      </w:pPr>
      <w:r>
        <w:rPr/>
      </w:r>
    </w:p>
    <w:p>
      <w:pPr>
        <w:pStyle w:val="Normal"/>
        <w:numPr>
          <w:ilvl w:val="0"/>
          <w:numId w:val="24"/>
        </w:numPr>
        <w:rPr/>
      </w:pPr>
      <w:r>
        <w:rPr/>
        <w:t xml:space="preserve">Retail rates must be sufficient to payoff all past debts.  Predicted Utility undercollections and total CDWR expenditures (as of December 31, 2001) are indicated in the table below. </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6857" w:type="dxa"/>
        <w:jc w:val="center"/>
        <w:tblInd w:w="0" w:type="dxa"/>
        <w:tblLayout w:type="fixed"/>
        <w:tblCellMar>
          <w:top w:w="15" w:type="dxa"/>
          <w:start w:w="15" w:type="dxa"/>
          <w:bottom w:w="0" w:type="dxa"/>
          <w:end w:w="15" w:type="dxa"/>
        </w:tblCellMar>
      </w:tblPr>
      <w:tblGrid>
        <w:gridCol w:w="1726"/>
        <w:gridCol w:w="2700"/>
        <w:gridCol w:w="2431"/>
      </w:tblGrid>
      <w:tr>
        <w:trPr>
          <w:trHeight w:val="415" w:hRule="atLeast"/>
        </w:trPr>
        <w:tc>
          <w:tcPr>
            <w:tcW w:w="172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 Billion</w:t>
            </w:r>
          </w:p>
        </w:tc>
        <w:tc>
          <w:tcPr>
            <w:tcW w:w="2431"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Rate Required for Recovery ($/MWh)</w:t>
            </w:r>
          </w:p>
        </w:tc>
      </w:tr>
      <w:tr>
        <w:trPr>
          <w:trHeight w:val="255" w:hRule="atLeast"/>
        </w:trPr>
        <w:tc>
          <w:tcPr>
            <w:tcW w:w="172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431"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$9.30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PG&amp;E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$11.70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$7.45</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SCE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$9.0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$12.55</w:t>
            </w:r>
          </w:p>
        </w:tc>
      </w:tr>
    </w:tbl>
    <w:p>
      <w:pPr>
        <w:pStyle w:val="Normal"/>
        <w:rPr/>
      </w:pPr>
      <w:r>
        <w:rPr/>
        <w:tab/>
        <w:tab/>
      </w:r>
      <w:r>
        <w:rPr>
          <w:sz w:val="20"/>
        </w:rPr>
        <w:tab/>
        <w:tab/>
        <w:t>*Assumes CDWR costs are not recovered in current rates.</w:t>
        <w:tab/>
      </w:r>
    </w:p>
    <w:p>
      <w:pPr>
        <w:pStyle w:val="Normal"/>
        <w:rPr>
          <w:sz w:val="20"/>
        </w:rPr>
      </w:pPr>
      <w:r>
        <w:rPr>
          <w:sz w:val="20"/>
        </w:rPr>
      </w:r>
    </w:p>
    <w:p>
      <w:pPr>
        <w:pStyle w:val="Normal"/>
        <w:numPr>
          <w:ilvl w:val="0"/>
          <w:numId w:val="12"/>
        </w:numPr>
        <w:rPr/>
      </w:pPr>
      <w:r>
        <w:rPr/>
        <w:t xml:space="preserve">Utility undercollections should be securitized and a non-bypassable dedicated rate component should be established and paid by all consumers.  </w:t>
      </w:r>
    </w:p>
    <w:p>
      <w:pPr>
        <w:pStyle w:val="Normal"/>
        <w:rPr/>
      </w:pPr>
      <w:r>
        <w:rPr/>
      </w:r>
    </w:p>
    <w:p>
      <w:pPr>
        <w:pStyle w:val="Normal"/>
        <w:numPr>
          <w:ilvl w:val="0"/>
          <w:numId w:val="11"/>
        </w:numPr>
        <w:rPr/>
      </w:pPr>
      <w:r>
        <w:rPr/>
        <w:t xml:space="preserve">CDWR should issue debt of $20 billion.  Assuming a tenor of 15 years and an overall cost of capital of 6%, the annual payment is $2 billion.  Legislation should be fixed so that the debt issuance has the full faith and credit of the state.  To help prevent rate shock, recovery of such amounts could be deferred until January 1, 2003.  Deferral would  result in an additional $2 billion of cost to be amortized. </w:t>
      </w:r>
    </w:p>
    <w:p>
      <w:pPr>
        <w:pStyle w:val="BodyText"/>
        <w:rPr>
          <w:sz w:val="24"/>
          <w:u w:val="single"/>
        </w:rPr>
      </w:pPr>
      <w:r>
        <w:rPr>
          <w:sz w:val="24"/>
          <w:u w:val="single"/>
        </w:rPr>
      </w:r>
    </w:p>
    <w:p>
      <w:pPr>
        <w:pStyle w:val="Heading1"/>
        <w:ind w:hanging="0" w:start="0"/>
        <w:rPr/>
      </w:pPr>
      <w:r>
        <w:rPr/>
        <w:t>Increase Supply by Paying QFs and Reforming Permitting Rules</w:t>
      </w:r>
    </w:p>
    <w:p>
      <w:pPr>
        <w:pStyle w:val="Normal"/>
        <w:rPr/>
      </w:pPr>
      <w:r>
        <w:rPr/>
      </w:r>
    </w:p>
    <w:p>
      <w:pPr>
        <w:pStyle w:val="Normal"/>
        <w:numPr>
          <w:ilvl w:val="0"/>
          <w:numId w:val="17"/>
        </w:numPr>
        <w:rPr/>
      </w:pPr>
      <w:r>
        <w:rPr/>
        <w:t>Many QFs are not operating due to lack of payment.  Either (a) ensure that Utilities begin paying for going forward energy and capacity by CPUC action or (b) provide full authority for QFs to sell outside of their contracts directly to CDWR at contract prices.</w:t>
      </w:r>
    </w:p>
    <w:p>
      <w:pPr>
        <w:pStyle w:val="Normal"/>
        <w:rPr/>
      </w:pPr>
      <w:r>
        <w:rPr/>
      </w:r>
    </w:p>
    <w:p>
      <w:pPr>
        <w:pStyle w:val="Normal"/>
        <w:numPr>
          <w:ilvl w:val="0"/>
          <w:numId w:val="17"/>
        </w:numPr>
        <w:rPr/>
      </w:pPr>
      <w:r>
        <w:rPr/>
        <w:t>Allow temporary flexibility in offsetting emissions until October 1, 2002</w:t>
      </w:r>
    </w:p>
    <w:p>
      <w:pPr>
        <w:pStyle w:val="Normal"/>
        <w:numPr>
          <w:ilvl w:val="0"/>
          <w:numId w:val="2"/>
        </w:numPr>
        <w:rPr/>
      </w:pPr>
      <w:r>
        <w:rPr/>
        <w:t>Implement pollution migration bank for new and expanded facilities through CEC</w:t>
      </w:r>
    </w:p>
    <w:p>
      <w:pPr>
        <w:pStyle w:val="Normal"/>
        <w:numPr>
          <w:ilvl w:val="0"/>
          <w:numId w:val="2"/>
        </w:numPr>
        <w:rPr/>
      </w:pPr>
      <w:r>
        <w:rPr/>
        <w:t>Allow negotiated limit variances on operations and/or emissions at existing facilities to increase output</w:t>
      </w:r>
    </w:p>
    <w:p>
      <w:pPr>
        <w:pStyle w:val="Normal"/>
        <w:ind w:start="1440" w:end="0"/>
        <w:rPr/>
      </w:pPr>
      <w:r>
        <w:rPr/>
      </w:r>
    </w:p>
    <w:p>
      <w:pPr>
        <w:pStyle w:val="Normal"/>
        <w:numPr>
          <w:ilvl w:val="0"/>
          <w:numId w:val="17"/>
        </w:numPr>
        <w:rPr/>
      </w:pPr>
      <w:r>
        <w:rPr/>
        <w:t>Implement permanent reforms to streamline siting process to allow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7"/>
        </w:numPr>
        <w:rPr/>
      </w:pPr>
      <w:r>
        <w:rPr/>
        <w:t>Clarify, streamline and encourage alternate sources of ERC credits</w:t>
      </w:r>
    </w:p>
    <w:p>
      <w:pPr>
        <w:pStyle w:val="Normal"/>
        <w:numPr>
          <w:ilvl w:val="1"/>
          <w:numId w:val="17"/>
        </w:numPr>
        <w:rPr/>
      </w:pPr>
      <w:r>
        <w:rPr/>
        <w:t xml:space="preserve">Reduce discounting of existing ERC resources </w:t>
      </w:r>
    </w:p>
    <w:p>
      <w:pPr>
        <w:pStyle w:val="Normal"/>
        <w:ind w:start="1440" w:end="0"/>
        <w:rPr/>
      </w:pPr>
      <w:r>
        <w:rPr/>
      </w:r>
    </w:p>
    <w:p>
      <w:pPr>
        <w:pStyle w:val="Normal"/>
        <w:ind w:start="576" w:end="0"/>
        <w:rPr/>
      </w:pPr>
      <w:r>
        <w:rPr/>
        <w:t>- Create state and federal task forces to accelerate siting and construction of new facilities</w:t>
      </w:r>
    </w:p>
    <w:p>
      <w:pPr>
        <w:pStyle w:val="Normal"/>
        <w:numPr>
          <w:ilvl w:val="0"/>
          <w:numId w:val="18"/>
        </w:numPr>
        <w:rPr/>
      </w:pPr>
      <w:r>
        <w:rPr/>
        <w:t>FERC, USEPA, CEC, CARB, BLM and FWS</w:t>
      </w:r>
    </w:p>
    <w:p>
      <w:pPr>
        <w:pStyle w:val="Normal"/>
        <w:numPr>
          <w:ilvl w:val="0"/>
          <w:numId w:val="18"/>
        </w:numPr>
        <w:rPr/>
      </w:pPr>
      <w:r>
        <w:rPr/>
        <w:t>Allow developers to put funds in escrow accounts for necessary offsets versus needing to purchase offsets before project is deemed “data adequate” by the CEC</w:t>
      </w:r>
    </w:p>
    <w:p>
      <w:pPr>
        <w:pStyle w:val="Normal"/>
        <w:ind w:start="1440" w:end="0"/>
        <w:rPr/>
      </w:pPr>
      <w:r>
        <w:rPr/>
      </w:r>
    </w:p>
    <w:p>
      <w:pPr>
        <w:pStyle w:val="Normal"/>
        <w:numPr>
          <w:ilvl w:val="0"/>
          <w:numId w:val="17"/>
        </w:numPr>
        <w:rPr/>
      </w:pPr>
      <w:r>
        <w:rPr/>
        <w:t>Eliminate all regulatory and legal impediments to distributed generation (e.g., stand-by charges, unreasonable interconnection fees, etc.).</w:t>
      </w:r>
    </w:p>
    <w:p>
      <w:pPr>
        <w:pStyle w:val="Normal"/>
        <w:rPr/>
      </w:pPr>
      <w:r>
        <w:rPr/>
      </w:r>
    </w:p>
    <w:p>
      <w:pPr>
        <w:pStyle w:val="Heading1"/>
        <w:ind w:hanging="0" w:start="0"/>
        <w:rPr/>
      </w:pPr>
      <w:r>
        <w:rPr/>
        <w:t>Develop new Natural Gas Infrastructure</w:t>
      </w:r>
    </w:p>
    <w:p>
      <w:pPr>
        <w:pStyle w:val="BodyText"/>
        <w:rPr>
          <w:sz w:val="24"/>
          <w:u w:val="single"/>
        </w:rPr>
      </w:pPr>
      <w:r>
        <w:rPr>
          <w:sz w:val="24"/>
          <w:u w:val="single"/>
        </w:rPr>
      </w:r>
    </w:p>
    <w:p>
      <w:pPr>
        <w:pStyle w:val="Normal"/>
        <w:numPr>
          <w:ilvl w:val="0"/>
          <w:numId w:val="7"/>
        </w:numPr>
        <w:rPr/>
      </w:pPr>
      <w:r>
        <w:rPr/>
        <w:t>Thus far, the focus has been on California’s electricity crisis</w:t>
      </w:r>
    </w:p>
    <w:p>
      <w:pPr>
        <w:pStyle w:val="Normal"/>
        <w:numPr>
          <w:ilvl w:val="0"/>
          <w:numId w:val="7"/>
        </w:numPr>
        <w:rPr/>
      </w:pPr>
      <w:r>
        <w:rPr/>
        <w:t>But California’s in-state gas markets face many of the same fundamental problems, which, unless remedied quickly, will compound the state’s electricity crisis</w:t>
      </w:r>
    </w:p>
    <w:p>
      <w:pPr>
        <w:pStyle w:val="Normal"/>
        <w:numPr>
          <w:ilvl w:val="0"/>
          <w:numId w:val="7"/>
        </w:numPr>
        <w:rPr/>
      </w:pPr>
      <w:r>
        <w:rPr/>
        <w:t xml:space="preserve">California’s dysfunctional in-state gas markets is a key contributor to the high gas prices California has recently experienced </w:t>
      </w:r>
    </w:p>
    <w:p>
      <w:pPr>
        <w:pStyle w:val="Normal"/>
        <w:numPr>
          <w:ilvl w:val="0"/>
          <w:numId w:val="7"/>
        </w:numPr>
        <w:rPr/>
      </w:pPr>
      <w:r>
        <w:rPr/>
        <w:t>Approximately one year ago, a group consisting of the vast majority of gas stakeholders in California submitted a comprehensive settlement to the California Public Utilities Commission.  That proposal:</w:t>
      </w:r>
    </w:p>
    <w:p>
      <w:pPr>
        <w:pStyle w:val="Normal"/>
        <w:numPr>
          <w:ilvl w:val="0"/>
          <w:numId w:val="16"/>
        </w:numPr>
        <w:ind w:hanging="180" w:start="720" w:end="0"/>
        <w:rPr/>
      </w:pPr>
      <w:r>
        <w:rPr/>
        <w:t>Creates a single, statewide market for intrastate gas transportation service.</w:t>
      </w:r>
    </w:p>
    <w:p>
      <w:pPr>
        <w:pStyle w:val="Normal"/>
        <w:numPr>
          <w:ilvl w:val="0"/>
          <w:numId w:val="16"/>
        </w:numPr>
        <w:ind w:hanging="180" w:start="720" w:end="0"/>
        <w:rPr/>
      </w:pPr>
      <w:r>
        <w:rPr/>
        <w:t>Creates a single, statewide market for intrastate storage services.</w:t>
      </w:r>
    </w:p>
    <w:p>
      <w:pPr>
        <w:pStyle w:val="Normal"/>
        <w:numPr>
          <w:ilvl w:val="0"/>
          <w:numId w:val="16"/>
        </w:numPr>
        <w:ind w:hanging="180" w:start="720" w:end="0"/>
        <w:rPr/>
      </w:pPr>
      <w:r>
        <w:rPr/>
        <w:t>Provides incentives to make investment in in-state gas infrastructure</w:t>
      </w:r>
    </w:p>
    <w:p>
      <w:pPr>
        <w:pStyle w:val="Normal"/>
        <w:numPr>
          <w:ilvl w:val="0"/>
          <w:numId w:val="16"/>
        </w:numPr>
        <w:ind w:hanging="180" w:start="720" w:end="0"/>
        <w:rPr/>
      </w:pPr>
      <w:r>
        <w:rPr/>
        <w:t>Protects small (core) customers from the sort of price impacts experienced in the electric sector</w:t>
      </w:r>
    </w:p>
    <w:p>
      <w:pPr>
        <w:pStyle w:val="Normal"/>
        <w:numPr>
          <w:ilvl w:val="0"/>
          <w:numId w:val="7"/>
        </w:numPr>
        <w:rPr/>
      </w:pPr>
      <w:r>
        <w:rPr/>
        <w:t>The comprehensive solution is similar to the “Gas Accord” that the Commission adopted in 1996 and which has worked well</w:t>
      </w:r>
    </w:p>
    <w:p>
      <w:pPr>
        <w:pStyle w:val="Normal"/>
        <w:numPr>
          <w:ilvl w:val="0"/>
          <w:numId w:val="7"/>
        </w:numPr>
        <w:rPr/>
      </w:pPr>
      <w:r>
        <w:rPr/>
        <w:t>The California PUC rejected the comprehensive solution and instead is currently considering a piecemeal approach supported by only a handful of interests</w:t>
      </w:r>
    </w:p>
    <w:p>
      <w:pPr>
        <w:pStyle w:val="Normal"/>
        <w:numPr>
          <w:ilvl w:val="0"/>
          <w:numId w:val="7"/>
        </w:numPr>
        <w:rPr/>
      </w:pPr>
      <w:r>
        <w:rPr/>
        <w:t>The Legislature should enact legislation adopting the comprehensive solution offered to the PUC last year, or the Legislature should pass Legislation directing the PUC to adopt the comprehensive solution.</w:t>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1512"/>
        </w:tabs>
        <w:ind w:start="1512"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1">
    <w:lvl w:ilvl="0">
      <w:start w:val="1"/>
      <w:numFmt w:val="bullet"/>
      <w:lvlText w:val=""/>
      <w:lvlJc w:val="start"/>
      <w:pPr>
        <w:tabs>
          <w:tab w:val="num" w:pos="504"/>
        </w:tabs>
        <w:ind w:start="504" w:hanging="360"/>
      </w:pPr>
      <w:rPr>
        <w:rFonts w:ascii="Symbol" w:hAnsi="Symbol" w:cs="Symbol" w:hint="default"/>
        <w:sz w:val="22"/>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numFmt w:val="bullet"/>
      <w:lvlText w:val="-"/>
      <w:lvlJc w:val="start"/>
      <w:pPr>
        <w:tabs>
          <w:tab w:val="num" w:pos="936"/>
        </w:tabs>
        <w:ind w:start="936" w:hanging="360"/>
      </w:pPr>
      <w:rPr>
        <w:rFonts w:ascii="Times New Roman" w:hAnsi="Times New Roman" w:cs="Times New Roman" w:hint="default"/>
      </w:rPr>
    </w:lvl>
  </w:abstractNum>
  <w:abstractNum w:abstractNumId="17">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o"/>
      <w:lvlJc w:val="start"/>
      <w:pPr>
        <w:tabs>
          <w:tab w:val="num" w:pos="1440"/>
        </w:tabs>
        <w:ind w:start="1440" w:hanging="360"/>
      </w:pPr>
      <w:rPr>
        <w:rFonts w:ascii="Courier New" w:hAnsi="Courier New" w:cs="Courier New" w:hint="default"/>
      </w:rPr>
    </w:lvl>
  </w:abstractNum>
  <w:abstractNum w:abstractNumId="19">
    <w:lvl w:ilvl="0">
      <w:start w:val="1"/>
      <w:numFmt w:val="bullet"/>
      <w:lvlText w:val=""/>
      <w:lvlJc w:val="start"/>
      <w:pPr>
        <w:tabs>
          <w:tab w:val="num" w:pos="1512"/>
        </w:tabs>
        <w:ind w:start="1512"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3168"/>
        </w:tabs>
        <w:ind w:start="3168" w:hanging="432"/>
      </w:pPr>
      <w:rPr>
        <w:rFonts w:ascii="Symbol" w:hAnsi="Symbol" w:cs="Symbol" w:hint="default"/>
      </w:rPr>
    </w:lvl>
    <w:lvl w:ilvl="3">
      <w:start w:val="1"/>
      <w:numFmt w:val="bullet"/>
      <w:lvlText w:val=""/>
      <w:lvlJc w:val="start"/>
      <w:pPr>
        <w:tabs>
          <w:tab w:val="num" w:pos="3816"/>
        </w:tabs>
        <w:ind w:start="3816" w:hanging="360"/>
      </w:pPr>
      <w:rPr>
        <w:rFonts w:ascii="Symbol" w:hAnsi="Symbol" w:cs="Symbol" w:hint="default"/>
      </w:rPr>
    </w:lvl>
    <w:lvl w:ilvl="4">
      <w:start w:val="1"/>
      <w:numFmt w:val="bullet"/>
      <w:lvlText w:val="o"/>
      <w:lvlJc w:val="start"/>
      <w:pPr>
        <w:tabs>
          <w:tab w:val="num" w:pos="4536"/>
        </w:tabs>
        <w:ind w:start="4536" w:hanging="360"/>
      </w:pPr>
      <w:rPr>
        <w:rFonts w:ascii="Courier New" w:hAnsi="Courier New" w:cs="Courier New" w:hint="default"/>
      </w:rPr>
    </w:lvl>
    <w:lvl w:ilvl="5">
      <w:start w:val="1"/>
      <w:numFmt w:val="bullet"/>
      <w:lvlText w:val=""/>
      <w:lvlJc w:val="start"/>
      <w:pPr>
        <w:tabs>
          <w:tab w:val="num" w:pos="5256"/>
        </w:tabs>
        <w:ind w:start="5256" w:hanging="360"/>
      </w:pPr>
      <w:rPr>
        <w:rFonts w:ascii="Wingdings" w:hAnsi="Wingdings" w:cs="Wingdings" w:hint="default"/>
      </w:rPr>
    </w:lvl>
    <w:lvl w:ilvl="6">
      <w:start w:val="1"/>
      <w:numFmt w:val="bullet"/>
      <w:lvlText w:val=""/>
      <w:lvlJc w:val="start"/>
      <w:pPr>
        <w:tabs>
          <w:tab w:val="num" w:pos="5976"/>
        </w:tabs>
        <w:ind w:start="5976" w:hanging="360"/>
      </w:pPr>
      <w:rPr>
        <w:rFonts w:ascii="Symbol" w:hAnsi="Symbol" w:cs="Symbol" w:hint="default"/>
      </w:rPr>
    </w:lvl>
    <w:lvl w:ilvl="7">
      <w:start w:val="1"/>
      <w:numFmt w:val="bullet"/>
      <w:lvlText w:val="o"/>
      <w:lvlJc w:val="start"/>
      <w:pPr>
        <w:tabs>
          <w:tab w:val="num" w:pos="6696"/>
        </w:tabs>
        <w:ind w:start="6696" w:hanging="360"/>
      </w:pPr>
      <w:rPr>
        <w:rFonts w:ascii="Courier New" w:hAnsi="Courier New" w:cs="Courier New" w:hint="default"/>
      </w:rPr>
    </w:lvl>
    <w:lvl w:ilvl="8">
      <w:start w:val="1"/>
      <w:numFmt w:val="bullet"/>
      <w:lvlText w:val=""/>
      <w:lvlJc w:val="start"/>
      <w:pPr>
        <w:tabs>
          <w:tab w:val="num" w:pos="7416"/>
        </w:tabs>
        <w:ind w:start="7416" w:hanging="360"/>
      </w:pPr>
      <w:rPr>
        <w:rFonts w:ascii="Wingdings" w:hAnsi="Wingdings" w:cs="Wingdings" w:hint="default"/>
      </w:rPr>
    </w:lvl>
  </w:abstractNum>
  <w:abstractNum w:abstractNumId="20">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21">
    <w:lvl w:ilvl="0">
      <w:start w:val="1"/>
      <w:numFmt w:val="bullet"/>
      <w:lvlText w:val=""/>
      <w:lvlJc w:val="start"/>
      <w:pPr>
        <w:tabs>
          <w:tab w:val="num" w:pos="576"/>
        </w:tabs>
        <w:ind w:start="576" w:hanging="432"/>
      </w:pPr>
      <w:rPr>
        <w:rFonts w:ascii="Symbol" w:hAnsi="Symbol" w:cs="Symbol" w:hint="default"/>
      </w:rPr>
    </w:lvl>
  </w:abstractNum>
  <w:abstractNum w:abstractNumId="2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numFmt w:val="bullet"/>
      <w:lvlText w:val="-"/>
      <w:lvlJc w:val="start"/>
      <w:pPr>
        <w:tabs>
          <w:tab w:val="num" w:pos="936"/>
        </w:tabs>
        <w:ind w:start="936" w:hanging="360"/>
      </w:pPr>
      <w:rPr>
        <w:rFonts w:ascii="Times New Roman" w:hAnsi="Times New Roman" w:cs="Times New Roman" w:hint="default"/>
      </w:rPr>
    </w:lvl>
  </w:abstractNum>
  <w:abstractNum w:abstractNumId="24">
    <w:lvl w:ilvl="0">
      <w:start w:val="1"/>
      <w:numFmt w:val="bullet"/>
      <w:lvlText w:val=""/>
      <w:lvlJc w:val="start"/>
      <w:pPr>
        <w:tabs>
          <w:tab w:val="num" w:pos="432"/>
        </w:tabs>
        <w:ind w:start="432" w:hanging="432"/>
      </w:pPr>
      <w:rPr>
        <w:rFonts w:ascii="Symbol" w:hAnsi="Symbol" w:cs="Symbol" w:hint="default"/>
      </w:rPr>
    </w:lvl>
  </w:abstractNum>
  <w:abstractNum w:abstractNumId="25">
    <w:lvl w:ilvl="0">
      <w:start w:val="1"/>
      <w:numFmt w:val="bullet"/>
      <w:lvlText w:val=""/>
      <w:lvlJc w:val="start"/>
      <w:pPr>
        <w:tabs>
          <w:tab w:val="num" w:pos="576"/>
        </w:tabs>
        <w:ind w:start="576" w:hanging="432"/>
      </w:pPr>
      <w:rPr>
        <w:rFonts w:ascii="Symbol" w:hAnsi="Symbol" w:cs="Symbol" w:hint="default"/>
      </w:rPr>
    </w:lvl>
  </w:abstractNum>
  <w:abstractNum w:abstractNumId="26">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Symbol" w:hAnsi="Symbol" w:cs="Symbol"/>
      <w:sz w:val="22"/>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b/>
      <w:i w:val="false"/>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rPr>
  </w:style>
  <w:style w:type="character" w:styleId="WW8Num38z2">
    <w:name w:val="WW8Num38z2"/>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Symbol" w:hAnsi="Symbol" w:cs="Symbol"/>
      <w:sz w:val="24"/>
    </w:rPr>
  </w:style>
  <w:style w:type="character" w:styleId="WW8Num42z3">
    <w:name w:val="WW8Num42z3"/>
    <w:qFormat/>
    <w:rPr>
      <w:rFonts w:ascii="Times New Roman" w:hAnsi="Times New Roman" w:eastAsia="Times New Roman" w:cs="Times New Roman"/>
    </w:rPr>
  </w:style>
  <w:style w:type="character" w:styleId="WW8Num42z5">
    <w:name w:val="WW8Num42z5"/>
    <w:qFormat/>
    <w:rPr>
      <w:rFonts w:ascii="Wingdings" w:hAnsi="Wingdings" w:cs="Wingdings"/>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4z1">
    <w:name w:val="WW8Num44z1"/>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Courier New" w:hAnsi="Courier New" w:cs="Courier New"/>
    </w:rPr>
  </w:style>
  <w:style w:type="character" w:styleId="WW8Num51z1">
    <w:name w:val="WW8Num51z1"/>
    <w:qFormat/>
    <w:rPr>
      <w:rFonts w:ascii="Symbol" w:hAnsi="Symbol" w:cs="Symbol"/>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b/>
      <w:i w:val="false"/>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sz w:val="22"/>
    </w:rPr>
  </w:style>
  <w:style w:type="character" w:styleId="WW8Num54z1">
    <w:name w:val="WW8Num54z1"/>
    <w:qFormat/>
    <w:rPr>
      <w:rFonts w:ascii="Times New Roman" w:hAnsi="Times New Roman" w:eastAsia="Times New Roman" w:cs="Times New Roman"/>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4z4">
    <w:name w:val="WW8Num54z4"/>
    <w:qFormat/>
    <w:rPr>
      <w:rFonts w:ascii="Courier New" w:hAnsi="Courier New" w:cs="Courier New"/>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style>
  <w:style w:type="character" w:styleId="WW8Num57z0">
    <w:name w:val="WW8Num57z0"/>
    <w:qFormat/>
    <w:rPr>
      <w:rFonts w:ascii="Symbol" w:hAnsi="Symbol" w:cs="Symbol"/>
    </w:rPr>
  </w:style>
  <w:style w:type="character" w:styleId="WW8Num57z1">
    <w:name w:val="WW8Num57z1"/>
    <w:qFormat/>
    <w:rPr>
      <w:rFonts w:ascii="Wingdings" w:hAnsi="Wingdings" w:cs="Wingdings"/>
    </w:rPr>
  </w:style>
  <w:style w:type="character" w:styleId="WW8Num57z4">
    <w:name w:val="WW8Num57z4"/>
    <w:qFormat/>
    <w:rPr>
      <w:rFonts w:ascii="Courier New" w:hAnsi="Courier New" w:cs="Courier New"/>
    </w:rPr>
  </w:style>
  <w:style w:type="character" w:styleId="WW8Num58z0">
    <w:name w:val="WW8Num58z0"/>
    <w:qFormat/>
    <w:rPr>
      <w:rFonts w:ascii="Wingdings" w:hAnsi="Wingdings" w:cs="Wingdings"/>
    </w:rPr>
  </w:style>
  <w:style w:type="character" w:styleId="WW8Num58z3">
    <w:name w:val="WW8Num58z3"/>
    <w:qFormat/>
    <w:rPr>
      <w:rFonts w:ascii="Symbol" w:hAnsi="Symbol" w:cs="Symbol"/>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rPr>
  </w:style>
  <w:style w:type="character" w:styleId="WW8Num59z2">
    <w:name w:val="WW8Num59z2"/>
    <w:qFormat/>
    <w:rPr>
      <w:rFonts w:ascii="Wingdings" w:hAnsi="Wingdings" w:cs="Wingdings"/>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Wingdings" w:hAnsi="Wingdings" w:cs="Wingdings"/>
    </w:rPr>
  </w:style>
  <w:style w:type="character" w:styleId="WW8Num64z4">
    <w:name w:val="WW8Num64z4"/>
    <w:qFormat/>
    <w:rPr>
      <w:rFonts w:ascii="Courier New" w:hAnsi="Courier New" w:cs="Courier New"/>
    </w:rPr>
  </w:style>
  <w:style w:type="character" w:styleId="WW8Num65z0">
    <w:name w:val="WW8Num65z0"/>
    <w:qFormat/>
    <w:rPr>
      <w:rFonts w:ascii="Symbol" w:hAnsi="Symbol" w:cs="Symbol"/>
    </w:rPr>
  </w:style>
  <w:style w:type="character" w:styleId="WW8Num65z1">
    <w:name w:val="WW8Num65z1"/>
    <w:qFormat/>
    <w:rPr>
      <w:rFonts w:ascii="Symbol" w:hAnsi="Symbol" w:cs="Symbol"/>
      <w:sz w:val="22"/>
    </w:rPr>
  </w:style>
  <w:style w:type="character" w:styleId="WW8Num65z2">
    <w:name w:val="WW8Num65z2"/>
    <w:qFormat/>
    <w:rPr>
      <w:rFonts w:ascii="Wingdings" w:hAnsi="Wingdings" w:cs="Wingdings"/>
    </w:rPr>
  </w:style>
  <w:style w:type="character" w:styleId="WW8Num65z4">
    <w:name w:val="WW8Num65z4"/>
    <w:qFormat/>
    <w:rPr>
      <w:rFonts w:ascii="Courier New" w:hAnsi="Courier New" w:cs="Courier New"/>
    </w:rPr>
  </w:style>
  <w:style w:type="character" w:styleId="WW8Num66z0">
    <w:name w:val="WW8Num66z0"/>
    <w:qFormat/>
    <w:rPr/>
  </w:style>
  <w:style w:type="character" w:styleId="WW8Num66z1">
    <w:name w:val="WW8Num66z1"/>
    <w:qFormat/>
    <w:rPr>
      <w:rFonts w:ascii="Symbol" w:hAnsi="Symbol" w:cs="Symbol"/>
    </w:rPr>
  </w:style>
  <w:style w:type="character" w:styleId="WW8Num67z0">
    <w:name w:val="WW8Num67z0"/>
    <w:qFormat/>
    <w:rPr>
      <w:rFonts w:ascii="Symbol" w:hAnsi="Symbol" w:cs="Symbol"/>
      <w:sz w:val="24"/>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5">
    <w:name w:val="WW8Num68z5"/>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style>
  <w:style w:type="character" w:styleId="WW8Num71z0">
    <w:name w:val="WW8Num71z0"/>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Times New Roman" w:hAnsi="Times New Roman" w:eastAsia="Times New Roman" w:cs="Times New Roman"/>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1">
    <w:name w:val="WW8Num74z1"/>
    <w:qFormat/>
    <w:rPr>
      <w:rFonts w:ascii="Symbol" w:hAnsi="Symbol" w:cs="Symbol"/>
    </w:rPr>
  </w:style>
  <w:style w:type="character" w:styleId="WW8Num75z0">
    <w:name w:val="WW8Num75z0"/>
    <w:qFormat/>
    <w:rPr>
      <w:rFonts w:ascii="Symbol" w:hAnsi="Symbol" w:cs="Symbol"/>
      <w:sz w:val="28"/>
    </w:rPr>
  </w:style>
  <w:style w:type="character" w:styleId="WW8Num75z1">
    <w:name w:val="WW8Num75z1"/>
    <w:qFormat/>
    <w:rPr>
      <w:rFonts w:ascii="Times New Roman" w:hAnsi="Times New Roman" w:eastAsia="Times New Roman" w:cs="Times New Roman"/>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5z4">
    <w:name w:val="WW8Num75z4"/>
    <w:qFormat/>
    <w:rPr>
      <w:rFonts w:ascii="Courier New" w:hAnsi="Courier New" w:cs="Courier New"/>
    </w:rPr>
  </w:style>
  <w:style w:type="character" w:styleId="WW8Num76z0">
    <w:name w:val="WW8Num76z0"/>
    <w:qFormat/>
    <w:rPr>
      <w:rFonts w:ascii="Symbol" w:hAnsi="Symbol" w:cs="Symbol"/>
    </w:rPr>
  </w:style>
  <w:style w:type="character" w:styleId="WW8Num76z1">
    <w:name w:val="WW8Num76z1"/>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8z1">
    <w:name w:val="WW8Num78z1"/>
    <w:qFormat/>
    <w:rPr>
      <w:rFonts w:ascii="Wingdings" w:hAnsi="Wingdings" w:cs="Wingdings"/>
    </w:rPr>
  </w:style>
  <w:style w:type="character" w:styleId="WW8Num78z4">
    <w:name w:val="WW8Num78z4"/>
    <w:qFormat/>
    <w:rPr>
      <w:rFonts w:ascii="Courier New" w:hAnsi="Courier New" w:cs="Courier New"/>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2001-04-27T17:39:00Z</dcterms:created>
  <dc:creator>jthome</dc:creator>
  <dc:description/>
  <dc:language>en-CA</dc:language>
  <cp:lastModifiedBy>rneusta</cp:lastModifiedBy>
  <cp:lastPrinted>2001-04-27T14:56:00Z</cp:lastPrinted>
  <dcterms:modified xsi:type="dcterms:W3CDTF">2001-04-27T17:39:00Z</dcterms:modified>
  <cp:revision>2</cp:revision>
  <dc:subject/>
  <dc:title>Solutions to the California Energy Crisis</dc:title>
</cp:coreProperties>
</file>