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9"/>
        </w:numPr>
        <w:rPr/>
      </w:pPr>
      <w:r>
        <w:rPr/>
        <w:t>Create competitive wholesale and retail markets</w:t>
      </w:r>
    </w:p>
    <w:p>
      <w:pPr>
        <w:pStyle w:val="Normal"/>
        <w:numPr>
          <w:ilvl w:val="0"/>
          <w:numId w:val="9"/>
        </w:numPr>
        <w:rPr/>
      </w:pPr>
      <w:r>
        <w:rPr/>
        <w:t xml:space="preserve">Reduce demand by reforming retail rates </w:t>
      </w:r>
    </w:p>
    <w:p>
      <w:pPr>
        <w:pStyle w:val="Normal"/>
        <w:numPr>
          <w:ilvl w:val="0"/>
          <w:numId w:val="9"/>
        </w:numPr>
        <w:rPr/>
      </w:pPr>
      <w:r>
        <w:rPr/>
        <w:t>Increase supply by reforming permitting rules</w:t>
      </w:r>
    </w:p>
    <w:p>
      <w:pPr>
        <w:pStyle w:val="Normal"/>
        <w:numPr>
          <w:ilvl w:val="0"/>
          <w:numId w:val="9"/>
        </w:numPr>
        <w:rPr/>
      </w:pPr>
      <w:r>
        <w:rPr/>
        <w:t xml:space="preserve">Establish rates that ensure utility creditworthiness </w:t>
      </w:r>
    </w:p>
    <w:p>
      <w:pPr>
        <w:pStyle w:val="Normal"/>
        <w:numPr>
          <w:ilvl w:val="0"/>
          <w:numId w:val="9"/>
        </w:numPr>
        <w:rPr/>
      </w:pPr>
      <w:r>
        <w:rPr/>
        <w:t xml:space="preserve">Attract new investment in California’s in-state gas transportation network </w:t>
      </w:r>
    </w:p>
    <w:p>
      <w:pPr>
        <w:pStyle w:val="Normal"/>
        <w:rPr/>
      </w:pPr>
      <w:r>
        <w:rPr/>
      </w:r>
    </w:p>
    <w:p>
      <w:pPr>
        <w:pStyle w:val="BodyText"/>
        <w:jc w:val="center"/>
        <w:rPr>
          <w:b/>
          <w:bCs/>
          <w:i/>
          <w:i/>
          <w:iCs/>
          <w:smallCaps/>
          <w:sz w:val="24"/>
        </w:rPr>
      </w:pPr>
      <w:r>
        <w:rPr>
          <w:b/>
          <w:bCs/>
          <w:i/>
          <w:iCs/>
          <w:smallCaps/>
          <w:sz w:val="24"/>
        </w:rPr>
        <w:t>Solutions</w:t>
      </w:r>
    </w:p>
    <w:p>
      <w:pPr>
        <w:pStyle w:val="BodyText"/>
        <w:rPr>
          <w:b/>
          <w:bCs/>
          <w:i/>
          <w:i/>
          <w:iCs/>
          <w:smallCaps/>
          <w:sz w:val="24"/>
          <w:u w:val="single"/>
        </w:rPr>
      </w:pPr>
      <w:r>
        <w:rPr>
          <w:b/>
          <w:bCs/>
          <w:i/>
          <w:iCs/>
          <w:smallCap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numPr>
          <w:ilvl w:val="0"/>
          <w:numId w:val="4"/>
        </w:numPr>
        <w:rPr/>
      </w:pPr>
      <w:r>
        <w:rPr/>
        <w:t>Pass urgency legislation in California reinstating Direct Access – all customers should be allowed to make their own choice about their energy needs.</w:t>
      </w:r>
    </w:p>
    <w:p>
      <w:pPr>
        <w:pStyle w:val="Normal"/>
        <w:ind w:start="144" w:end="0"/>
        <w:rPr/>
      </w:pPr>
      <w:r>
        <w:rPr/>
      </w:r>
    </w:p>
    <w:p>
      <w:pPr>
        <w:pStyle w:val="Normal"/>
        <w:numPr>
          <w:ilvl w:val="0"/>
          <w:numId w:val="14"/>
        </w:numPr>
        <w:rPr/>
      </w:pPr>
      <w:r>
        <w:rPr/>
        <w:t>In the long run, neither CDWR nor the utility is equipped to procure power or manage price risk.</w:t>
      </w:r>
    </w:p>
    <w:p>
      <w:pPr>
        <w:pStyle w:val="Normal"/>
        <w:ind w:start="144" w:end="0"/>
        <w:rPr/>
      </w:pPr>
      <w:r>
        <w:rPr/>
      </w:r>
    </w:p>
    <w:p>
      <w:pPr>
        <w:pStyle w:val="Heading1"/>
        <w:numPr>
          <w:ilvl w:val="1"/>
          <w:numId w:val="11"/>
        </w:numPr>
        <w:tabs>
          <w:tab w:val="clear" w:pos="720"/>
        </w:tabs>
        <w:ind w:hanging="180" w:start="720" w:end="0"/>
        <w:rPr>
          <w:b w:val="false"/>
          <w:bCs w:val="false"/>
          <w:u w:val="none"/>
        </w:rPr>
      </w:pPr>
      <w:r>
        <w:rPr>
          <w:b w:val="false"/>
          <w:bCs w:val="false"/>
          <w:u w:val="none"/>
        </w:rPr>
        <w:t xml:space="preserve">Transfer the procurement role back to the utilities as soon as the CPUC establishes retail rates adequate to support going-forward procurement costs (June 1, 2001).  Simultaneously assign all CDWR contracts to the utilities.  </w:t>
      </w:r>
    </w:p>
    <w:p>
      <w:pPr>
        <w:pStyle w:val="Normal"/>
        <w:numPr>
          <w:ilvl w:val="1"/>
          <w:numId w:val="7"/>
        </w:numPr>
        <w:tabs>
          <w:tab w:val="clear" w:pos="720"/>
        </w:tabs>
        <w:ind w:hanging="180" w:start="720" w:end="0"/>
        <w:rPr/>
      </w:pPr>
      <w:r>
        <w:rPr/>
        <w:t>Implement core/noncore market structure beginning January 1, 2003 (similar to natural gas marketplace in California where core = residential and small commercial and non-core = large commercial and industrial).</w:t>
      </w:r>
    </w:p>
    <w:p>
      <w:pPr>
        <w:pStyle w:val="Normal"/>
        <w:numPr>
          <w:ilvl w:val="1"/>
          <w:numId w:val="3"/>
        </w:numPr>
        <w:tabs>
          <w:tab w:val="clear" w:pos="720"/>
          <w:tab w:val="left" w:pos="-144" w:leader="none"/>
        </w:tabs>
        <w:ind w:hanging="180" w:start="720" w:end="0"/>
        <w:rPr/>
      </w:pPr>
      <w:r>
        <w:rPr/>
        <w:t>The core/noncore market structure significantly reduces the utilities’ procurement requirements, since noncore customers would procure their own supplies</w:t>
      </w:r>
    </w:p>
    <w:p>
      <w:pPr>
        <w:pStyle w:val="Normal"/>
        <w:numPr>
          <w:ilvl w:val="1"/>
          <w:numId w:val="3"/>
        </w:numPr>
        <w:tabs>
          <w:tab w:val="clear" w:pos="720"/>
          <w:tab w:val="left" w:pos="-144" w:leader="none"/>
        </w:tabs>
        <w:ind w:hanging="180" w:start="720" w:end="0"/>
        <w:rPr/>
      </w:pPr>
      <w:r>
        <w:rPr/>
        <w:t>The Utilities’ retained generation, contracts with qualifying facilities (QF) and CDWR power contracts are sufficient to meet the demands of core customers.</w:t>
      </w:r>
    </w:p>
    <w:p>
      <w:pPr>
        <w:pStyle w:val="Normal"/>
        <w:numPr>
          <w:ilvl w:val="1"/>
          <w:numId w:val="3"/>
        </w:numPr>
        <w:tabs>
          <w:tab w:val="clear" w:pos="720"/>
          <w:tab w:val="left" w:pos="-144" w:leader="none"/>
        </w:tabs>
        <w:ind w:hanging="180" w:start="720" w:end="0"/>
        <w:rPr/>
      </w:pPr>
      <w:r>
        <w:rPr/>
        <w:t xml:space="preserve">Any core customer that chooses Direct Access service will pay a non-bypassable charge to recoup any uneconomic utility and CDWR power contract costs. </w:t>
      </w:r>
    </w:p>
    <w:p>
      <w:pPr>
        <w:pStyle w:val="Normal"/>
        <w:numPr>
          <w:ilvl w:val="1"/>
          <w:numId w:val="3"/>
        </w:numPr>
        <w:tabs>
          <w:tab w:val="clear" w:pos="720"/>
        </w:tabs>
        <w:ind w:hanging="180" w:start="720" w:end="0"/>
        <w:rPr/>
      </w:pPr>
      <w:r>
        <w:rPr/>
        <w:t xml:space="preserve">For all core customers who do not choose Direct Access service, the right to serve these customers should be granted through competitive bids submitted by competing service providers beginning in January 1, 2003.  </w:t>
      </w:r>
    </w:p>
    <w:p>
      <w:pPr>
        <w:pStyle w:val="Normal"/>
        <w:rPr/>
      </w:pPr>
      <w:r>
        <w:rPr/>
      </w:r>
    </w:p>
    <w:p>
      <w:pPr>
        <w:pStyle w:val="BodyTextIndent"/>
        <w:numPr>
          <w:ilvl w:val="0"/>
          <w:numId w:val="14"/>
        </w:numPr>
        <w:rPr/>
      </w:pPr>
      <w:r>
        <w:rPr/>
        <w:t>Eliminate all regulatory and legal impediments to distributed generation (e.g., stand-by charges, unreasonable interconnection fees, etc.).</w:t>
      </w:r>
    </w:p>
    <w:p>
      <w:pPr>
        <w:pStyle w:val="BodyTextIndent"/>
        <w:ind w:hanging="0" w:end="0"/>
        <w:rPr/>
      </w:pPr>
      <w:r>
        <w:rPr/>
      </w:r>
    </w:p>
    <w:p>
      <w:pPr>
        <w:pStyle w:val="BodyTextIndent"/>
        <w:numPr>
          <w:ilvl w:val="0"/>
          <w:numId w:val="14"/>
        </w:numPr>
        <w:rPr/>
      </w:pPr>
      <w:r>
        <w:rPr/>
        <w:t>The framework currently in place (PX Credit) must remain until March 30, 2002 for all Direct Access customers.  DJ Index should be used to replace the PX Day-Ahead market price.</w:t>
      </w:r>
    </w:p>
    <w:p>
      <w:pPr>
        <w:pStyle w:val="Normal"/>
        <w:rPr/>
      </w:pPr>
      <w:r>
        <w:rPr/>
      </w:r>
    </w:p>
    <w:p>
      <w:pPr>
        <w:pStyle w:val="Heading5"/>
        <w:ind w:hanging="0" w:start="0"/>
        <w:rPr/>
      </w:pPr>
      <w:r>
        <w:rPr/>
        <w:t>Actions needed to create a competitive wholesale market</w:t>
      </w:r>
    </w:p>
    <w:p>
      <w:pPr>
        <w:pStyle w:val="Normal"/>
        <w:numPr>
          <w:ilvl w:val="0"/>
          <w:numId w:val="14"/>
        </w:numPr>
        <w:rPr/>
      </w:pPr>
      <w:r>
        <w:rPr/>
        <w:t>The California ISO must either (a) move to a fully independent Board of Directors of industry and business leaders or (b) California transmission assets should join an West region RTO (e.g., north of Path 15 join RTO West and south of Path 15 join Desert Star RTO).</w:t>
      </w:r>
    </w:p>
    <w:p>
      <w:pPr>
        <w:pStyle w:val="Header"/>
        <w:tabs>
          <w:tab w:val="clear" w:pos="4320"/>
          <w:tab w:val="clear" w:pos="8640"/>
        </w:tabs>
        <w:rPr/>
      </w:pPr>
      <w:r>
        <w:rPr/>
      </w:r>
    </w:p>
    <w:p>
      <w:pPr>
        <w:pStyle w:val="Normal"/>
        <w:numPr>
          <w:ilvl w:val="0"/>
          <w:numId w:val="17"/>
        </w:numPr>
        <w:rPr/>
      </w:pPr>
      <w:r>
        <w:rPr/>
        <w:t>Avoid wholesale price caps because they neither increase supply nor decrease demand.  Price caps create shortages.  New development is discouraged if cost recovery through the wholesale power market cannot be reasonably assured.</w:t>
      </w:r>
    </w:p>
    <w:p>
      <w:pPr>
        <w:pStyle w:val="BodyText"/>
        <w:rPr>
          <w:sz w:val="24"/>
        </w:rPr>
      </w:pPr>
      <w:r>
        <w:rPr>
          <w:sz w:val="24"/>
        </w:rPr>
      </w:r>
    </w:p>
    <w:p>
      <w:pPr>
        <w:pStyle w:val="Normal"/>
        <w:numPr>
          <w:ilvl w:val="0"/>
          <w:numId w:val="5"/>
        </w:numPr>
        <w:rPr/>
      </w:pPr>
      <w:r>
        <w:rPr/>
        <w:t>FERC should institute a rulemaking proceeding to implement new rules increasing information transparency and market efficiency.</w:t>
      </w:r>
    </w:p>
    <w:p>
      <w:pPr>
        <w:pStyle w:val="Normal"/>
        <w:rPr/>
      </w:pPr>
      <w:r>
        <w:rPr/>
      </w:r>
    </w:p>
    <w:p>
      <w:pPr>
        <w:pStyle w:val="Normal"/>
        <w:numPr>
          <w:ilvl w:val="0"/>
          <w:numId w:val="5"/>
        </w:numPr>
        <w:rPr/>
      </w:pPr>
      <w:r>
        <w:rPr/>
        <w:t>FERC should exert its jurisdiction over the Westside interstate grid, including transmission used in bundled retail services.</w:t>
      </w:r>
    </w:p>
    <w:p>
      <w:pPr>
        <w:pStyle w:val="Normal"/>
        <w:rPr/>
      </w:pPr>
      <w:r>
        <w:rPr/>
      </w:r>
    </w:p>
    <w:p>
      <w:pPr>
        <w:pStyle w:val="Normal"/>
        <w:numPr>
          <w:ilvl w:val="0"/>
          <w:numId w:val="16"/>
        </w:numPr>
        <w:rPr/>
      </w:pPr>
      <w:r>
        <w:rPr/>
        <w:t xml:space="preserve">All users should be placed under the same rates, terms and conditions.  </w:t>
      </w:r>
    </w:p>
    <w:p>
      <w:pPr>
        <w:pStyle w:val="Normal"/>
        <w:numPr>
          <w:ilvl w:val="0"/>
          <w:numId w:val="16"/>
        </w:numPr>
        <w:rPr/>
      </w:pPr>
      <w:r>
        <w:rPr/>
        <w:t>A non-discriminatory open access tariff can ensure that utilities maximize throughput and that power flows freely to markets where it is most needed.</w:t>
      </w:r>
    </w:p>
    <w:p>
      <w:pPr>
        <w:pStyle w:val="Normal"/>
        <w:ind w:start="144" w:end="0"/>
        <w:rPr/>
      </w:pPr>
      <w:r>
        <w:rPr/>
      </w:r>
    </w:p>
    <w:p>
      <w:pPr>
        <w:pStyle w:val="Normal"/>
        <w:numPr>
          <w:ilvl w:val="0"/>
          <w:numId w:val="5"/>
        </w:numPr>
        <w:rPr/>
      </w:pPr>
      <w:r>
        <w:rPr/>
        <w:t>FERC should institute a rulemaking proceeding in order to promulgate rules requiring all transmission operators to adopt standardized and accelerated procedures for interconnection of generating facilities.</w:t>
      </w:r>
    </w:p>
    <w:p>
      <w:pPr>
        <w:pStyle w:val="Normal"/>
        <w:rPr/>
      </w:pPr>
      <w:r>
        <w:rPr/>
      </w:r>
    </w:p>
    <w:p>
      <w:pPr>
        <w:pStyle w:val="Normal"/>
        <w:numPr>
          <w:ilvl w:val="0"/>
          <w:numId w:val="5"/>
        </w:numPr>
        <w:rPr/>
      </w:pPr>
      <w:r>
        <w:rPr/>
        <w:t>Federal funds should be authorized to upgrade the transmission infrastructure (approximately $300 million) on Path 15 between Northern and Southern California.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17"/>
        </w:numPr>
        <w:rPr/>
      </w:pPr>
      <w:r>
        <w:rPr/>
        <w:t xml:space="preserve">The CPUC should design retail rates with the following characteristics –  </w:t>
      </w:r>
    </w:p>
    <w:p>
      <w:pPr>
        <w:pStyle w:val="Normal"/>
        <w:numPr>
          <w:ilvl w:val="0"/>
          <w:numId w:val="8"/>
        </w:numPr>
        <w:rPr/>
      </w:pPr>
      <w:r>
        <w:rPr/>
        <w:t xml:space="preserve">provide price signals necessary to incent voluntary load curtailment, </w:t>
      </w:r>
    </w:p>
    <w:p>
      <w:pPr>
        <w:pStyle w:val="Normal"/>
        <w:numPr>
          <w:ilvl w:val="0"/>
          <w:numId w:val="8"/>
        </w:numPr>
        <w:rPr/>
      </w:pPr>
      <w:r>
        <w:rPr/>
        <w:t xml:space="preserve">achieve necessary revenue requirements, </w:t>
      </w:r>
    </w:p>
    <w:p>
      <w:pPr>
        <w:pStyle w:val="Normal"/>
        <w:numPr>
          <w:ilvl w:val="0"/>
          <w:numId w:val="8"/>
        </w:numPr>
        <w:rPr/>
      </w:pPr>
      <w:r>
        <w:rPr/>
        <w:t xml:space="preserve">treat all customer and rate classes in a fair manner, and </w:t>
      </w:r>
    </w:p>
    <w:p>
      <w:pPr>
        <w:pStyle w:val="Normal"/>
        <w:numPr>
          <w:ilvl w:val="0"/>
          <w:numId w:val="8"/>
        </w:numPr>
        <w:rPr/>
      </w:pPr>
      <w:r>
        <w:rPr/>
        <w:t>is easily understood.</w:t>
      </w:r>
    </w:p>
    <w:p>
      <w:pPr>
        <w:pStyle w:val="Normal"/>
        <w:rPr/>
      </w:pPr>
      <w:r>
        <w:rPr/>
      </w:r>
    </w:p>
    <w:p>
      <w:pPr>
        <w:pStyle w:val="Normal"/>
        <w:jc w:val="center"/>
        <w:rPr>
          <w:b/>
          <w:bCs/>
        </w:rPr>
      </w:pPr>
      <w:r>
        <w:rPr>
          <w:b/>
          <w:bCs/>
        </w:rPr>
        <w:t>Whose Rates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pPr>
      <w:r>
        <w:rPr/>
        <w:t>*Assumes TURN allocation methodology</w:t>
      </w:r>
    </w:p>
    <w:p>
      <w:pPr>
        <w:pStyle w:val="Normal"/>
        <w:rPr/>
      </w:pPr>
      <w:r>
        <w:rPr/>
      </w:r>
    </w:p>
    <w:p>
      <w:pPr>
        <w:pStyle w:val="Normal"/>
        <w:numPr>
          <w:ilvl w:val="0"/>
          <w:numId w:val="15"/>
        </w:numPr>
        <w:rPr/>
      </w:pPr>
      <w:r>
        <w:rPr/>
        <w:t>For non-core market, the most efficient mechanism to achieve these charactistics is to base the new retail rate design on “real-time pricing” implemented through a two-part tariff</w:t>
      </w:r>
    </w:p>
    <w:p>
      <w:pPr>
        <w:pStyle w:val="Normal"/>
        <w:rPr/>
      </w:pPr>
      <w:r>
        <w:rPr/>
      </w:r>
    </w:p>
    <w:p>
      <w:pPr>
        <w:pStyle w:val="Normal"/>
        <w:numPr>
          <w:ilvl w:val="1"/>
          <w:numId w:val="15"/>
        </w:numPr>
        <w:rPr/>
      </w:pPr>
      <w:r>
        <w:rPr/>
        <w:t>prices would not change for usage at the baseline level,</w:t>
      </w:r>
    </w:p>
    <w:p>
      <w:pPr>
        <w:pStyle w:val="Normal"/>
        <w:numPr>
          <w:ilvl w:val="1"/>
          <w:numId w:val="15"/>
        </w:numPr>
        <w:rPr/>
      </w:pPr>
      <w:r>
        <w:rPr/>
        <w:t>usage above the baseline level would be charged market prices, and</w:t>
      </w:r>
    </w:p>
    <w:p>
      <w:pPr>
        <w:pStyle w:val="Normal"/>
        <w:numPr>
          <w:ilvl w:val="1"/>
          <w:numId w:val="15"/>
        </w:numPr>
        <w:rPr/>
      </w:pPr>
      <w:r>
        <w:rPr/>
        <w:t>usage below the baseline level would be compensated at market prices (consumers who conserve would “sell back” the electricity they save).</w:t>
      </w:r>
    </w:p>
    <w:p>
      <w:pPr>
        <w:pStyle w:val="Normal"/>
        <w:rPr/>
      </w:pPr>
      <w:r>
        <w:rPr/>
      </w:r>
    </w:p>
    <w:p>
      <w:pPr>
        <w:pStyle w:val="Heading1"/>
        <w:numPr>
          <w:ilvl w:val="0"/>
          <w:numId w:val="4"/>
        </w:numPr>
        <w:rPr>
          <w:b w:val="false"/>
          <w:bCs w:val="false"/>
          <w:u w:val="none"/>
        </w:rPr>
      </w:pPr>
      <w:r>
        <w:rPr>
          <w:b w:val="false"/>
          <w:bCs w:val="false"/>
          <w:u w:val="none"/>
        </w:rPr>
        <w:t>The following tables below estimate the impact of applying this retail rate design put forth by the California Large Energy Consumers Association (CLECA) and the California’s Office of Ratepayer Advocates (ORA).</w:t>
      </w:r>
    </w:p>
    <w:p>
      <w:pPr>
        <w:pStyle w:val="Normal"/>
        <w:rPr>
          <w:b/>
          <w:bCs/>
          <w:u w:val="none"/>
        </w:rPr>
      </w:pPr>
      <w:r>
        <w:rPr>
          <w:b/>
          <w:bCs/>
          <w:u w:val="none"/>
        </w:rPr>
      </w:r>
    </w:p>
    <w:p>
      <w:pPr>
        <w:pStyle w:val="Heading4"/>
        <w:ind w:hanging="0" w:start="0"/>
        <w:rPr/>
      </w:pPr>
      <w:r>
        <w:rPr/>
        <w:t>Baseline Level For Non-Core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xml:space="preserve">Base Line Level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87%</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82%</w:t>
            </w:r>
          </w:p>
        </w:tc>
        <w:tc>
          <w:tcPr>
            <w:tcW w:w="1232" w:type="dxa"/>
            <w:tcBorders/>
            <w:shd w:fill="C0C0C0" w:val="clear"/>
            <w:vAlign w:val="bottom"/>
          </w:tcPr>
          <w:p>
            <w:pPr>
              <w:pStyle w:val="Normal"/>
              <w:jc w:val="center"/>
              <w:rPr>
                <w:rFonts w:eastAsia="Arial Unicode MS"/>
                <w:b/>
                <w:bCs/>
                <w:szCs w:val="20"/>
              </w:rPr>
            </w:pPr>
            <w:r>
              <w:rPr>
                <w:b/>
                <w:bCs/>
                <w:szCs w:val="20"/>
              </w:rPr>
              <w:t>87%</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81%</w:t>
            </w:r>
          </w:p>
        </w:tc>
      </w:tr>
      <w:tr>
        <w:trPr>
          <w:trHeight w:val="270" w:hRule="atLeast"/>
        </w:trPr>
        <w:tc>
          <w:tcPr>
            <w:tcW w:w="2580" w:type="dxa"/>
            <w:tcBorders>
              <w:start w:val="single" w:sz="8" w:space="0" w:color="000000"/>
              <w:bottom w:val="single" w:sz="8" w:space="0" w:color="000000"/>
            </w:tcBorders>
            <w:shd w:fill="C0C0C0" w:val="clear"/>
            <w:vAlign w:val="bottom"/>
          </w:tcPr>
          <w:p>
            <w:pPr>
              <w:pStyle w:val="Normal"/>
              <w:snapToGrid w:val="false"/>
              <w:rPr>
                <w:rFonts w:eastAsia="Arial Unicode MS"/>
                <w:b/>
                <w:bCs/>
                <w:szCs w:val="20"/>
              </w:rPr>
            </w:pPr>
            <w:r>
              <w:rPr>
                <w:rFonts w:eastAsia="Arial Unicode MS"/>
                <w:b/>
                <w:bCs/>
                <w:szCs w:val="20"/>
              </w:rPr>
            </w:r>
          </w:p>
        </w:tc>
        <w:tc>
          <w:tcPr>
            <w:tcW w:w="1258" w:type="dxa"/>
            <w:tcBorders>
              <w:start w:val="single" w:sz="8" w:space="0" w:color="000000"/>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22"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1232" w:type="dxa"/>
            <w:tcBorders>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68"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r>
    </w:tbl>
    <w:p>
      <w:pPr>
        <w:pStyle w:val="BodyText"/>
        <w:ind w:firstLine="720" w:start="3600" w:end="0"/>
        <w:rPr>
          <w:sz w:val="24"/>
        </w:rPr>
      </w:pPr>
      <w:r>
        <w:rPr>
          <w:sz w:val="24"/>
        </w:rPr>
        <w:t>*Assumes TURN allocation methodology</w:t>
      </w:r>
    </w:p>
    <w:p>
      <w:pPr>
        <w:pStyle w:val="BodyText"/>
        <w:rPr>
          <w:sz w:val="24"/>
        </w:rPr>
      </w:pPr>
      <w:r>
        <w:rPr>
          <w:sz w:val="24"/>
        </w:rPr>
      </w:r>
    </w:p>
    <w:p>
      <w:pPr>
        <w:pStyle w:val="Normal"/>
        <w:numPr>
          <w:ilvl w:val="0"/>
          <w:numId w:val="15"/>
        </w:numPr>
        <w:rPr/>
      </w:pPr>
      <w:r>
        <w:rPr/>
        <w:t>If retail revenues from these rates are insufficient to cover going forward costs, CPUC should reduce Baseline level with 1-month notice of new Baseline level.</w:t>
      </w:r>
    </w:p>
    <w:p>
      <w:pPr>
        <w:pStyle w:val="Header"/>
        <w:tabs>
          <w:tab w:val="clear" w:pos="4320"/>
          <w:tab w:val="clear" w:pos="8640"/>
        </w:tabs>
        <w:rPr/>
      </w:pPr>
      <w:r>
        <w:rPr/>
      </w:r>
    </w:p>
    <w:p>
      <w:pPr>
        <w:pStyle w:val="Normal"/>
        <w:numPr>
          <w:ilvl w:val="0"/>
          <w:numId w:val="15"/>
        </w:numPr>
        <w:rPr/>
      </w:pPr>
      <w:r>
        <w:rPr/>
        <w:t xml:space="preserve">Reconcile all other load curtailment programs (e.g., Governor 20/20, California ISO, etc.) with new retail rate designs – don’t pay for same load reductions twice. </w:t>
      </w:r>
    </w:p>
    <w:p>
      <w:pPr>
        <w:pStyle w:val="Normal"/>
        <w:rPr/>
      </w:pPr>
      <w:r>
        <w:rPr/>
      </w:r>
    </w:p>
    <w:p>
      <w:pPr>
        <w:pStyle w:val="Normal"/>
        <w:numPr>
          <w:ilvl w:val="0"/>
          <w:numId w:val="15"/>
        </w:numPr>
        <w:rPr/>
      </w:pPr>
      <w:r>
        <w:rPr/>
        <w:t>FERC should implement a Negawatt proposal for all non-California customers in the Western power markets to create incentives to reduce load until January 1, 2003.</w:t>
      </w:r>
    </w:p>
    <w:p>
      <w:pPr>
        <w:pStyle w:val="Normal"/>
        <w:rPr/>
      </w:pPr>
      <w:r>
        <w:rPr/>
      </w:r>
    </w:p>
    <w:p>
      <w:pPr>
        <w:pStyle w:val="Heading1"/>
        <w:ind w:hanging="0" w:start="0"/>
        <w:rPr/>
      </w:pPr>
      <w:r>
        <w:rPr/>
        <w:t>Increase Supply by Reforming Permitting Rules</w:t>
      </w:r>
    </w:p>
    <w:p>
      <w:pPr>
        <w:pStyle w:val="Normal"/>
        <w:rPr/>
      </w:pPr>
      <w:r>
        <w:rPr/>
      </w:r>
    </w:p>
    <w:p>
      <w:pPr>
        <w:pStyle w:val="Normal"/>
        <w:numPr>
          <w:ilvl w:val="0"/>
          <w:numId w:val="12"/>
        </w:numPr>
        <w:rPr/>
      </w:pPr>
      <w:r>
        <w:rPr/>
        <w:t>Implement permanent reforms to streamline siting process to allow new and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2"/>
        </w:numPr>
        <w:rPr/>
      </w:pPr>
      <w:r>
        <w:rPr/>
        <w:t>Clarify, streamline and encourage alternate sources of credits</w:t>
      </w:r>
    </w:p>
    <w:p>
      <w:pPr>
        <w:pStyle w:val="Normal"/>
        <w:numPr>
          <w:ilvl w:val="1"/>
          <w:numId w:val="12"/>
        </w:numPr>
        <w:rPr/>
      </w:pPr>
      <w:r>
        <w:rPr/>
        <w:t>Reduce constraints and discounting of existing sources of ERCs</w:t>
      </w:r>
    </w:p>
    <w:p>
      <w:pPr>
        <w:pStyle w:val="Normal"/>
        <w:ind w:start="1080" w:end="0"/>
        <w:rPr/>
      </w:pPr>
      <w:r>
        <w:rPr/>
      </w:r>
    </w:p>
    <w:p>
      <w:pPr>
        <w:pStyle w:val="Normal"/>
        <w:ind w:firstLine="432" w:start="144" w:end="0"/>
        <w:rPr/>
      </w:pPr>
      <w:r>
        <w:rPr/>
        <w:t>- Allow temporary additional flexibility in offsetting emissions during energy crisis</w:t>
      </w:r>
    </w:p>
    <w:p>
      <w:pPr>
        <w:pStyle w:val="Normal"/>
        <w:numPr>
          <w:ilvl w:val="0"/>
          <w:numId w:val="2"/>
        </w:numPr>
        <w:rPr/>
      </w:pPr>
      <w:r>
        <w:rPr/>
        <w:t>Support concept of pollution migration bank for new and expanded facilities</w:t>
      </w:r>
    </w:p>
    <w:p>
      <w:pPr>
        <w:pStyle w:val="Normal"/>
        <w:numPr>
          <w:ilvl w:val="0"/>
          <w:numId w:val="2"/>
        </w:numPr>
        <w:rPr/>
      </w:pPr>
      <w:r>
        <w:rPr/>
        <w:t>Support negotiated variances of limits on operations or emissions at existing facilities to allow continued operations</w:t>
      </w:r>
    </w:p>
    <w:p>
      <w:pPr>
        <w:pStyle w:val="Normal"/>
        <w:ind w:start="1440" w:end="0"/>
        <w:rPr/>
      </w:pPr>
      <w:r>
        <w:rPr/>
      </w:r>
    </w:p>
    <w:p>
      <w:pPr>
        <w:pStyle w:val="Normal"/>
        <w:ind w:start="576" w:end="0"/>
        <w:rPr/>
      </w:pPr>
      <w:r>
        <w:rPr/>
        <w:t>- Create state and federal task force to accelerate siting and construction of new facilities</w:t>
      </w:r>
    </w:p>
    <w:p>
      <w:pPr>
        <w:pStyle w:val="Normal"/>
        <w:numPr>
          <w:ilvl w:val="0"/>
          <w:numId w:val="13"/>
        </w:numPr>
        <w:rPr/>
      </w:pPr>
      <w:r>
        <w:rPr/>
        <w:t>FERC, USEPA, CEC, CARB, BLM and FWS</w:t>
      </w:r>
    </w:p>
    <w:p>
      <w:pPr>
        <w:pStyle w:val="Normal"/>
        <w:numPr>
          <w:ilvl w:val="0"/>
          <w:numId w:val="13"/>
        </w:numPr>
        <w:rPr/>
      </w:pPr>
      <w:r>
        <w:rPr/>
        <w:t>Allow developers to put funds in escrow accounts for necessary offsets versus needing to purchase offsets before project is deemed “data adequate” by CEC</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5"/>
        </w:numPr>
        <w:rPr/>
      </w:pPr>
      <w:r>
        <w:rPr/>
        <w:t>Retail rates must restore creditworthy buyers provide for increased reliability and lower prices</w:t>
      </w:r>
    </w:p>
    <w:p>
      <w:pPr>
        <w:pStyle w:val="Header"/>
        <w:tabs>
          <w:tab w:val="clear" w:pos="4320"/>
          <w:tab w:val="clear" w:pos="8640"/>
        </w:tabs>
        <w:rPr/>
      </w:pPr>
      <w:r>
        <w:rPr/>
      </w:r>
    </w:p>
    <w:p>
      <w:pPr>
        <w:pStyle w:val="Normal"/>
        <w:numPr>
          <w:ilvl w:val="1"/>
          <w:numId w:val="5"/>
        </w:numPr>
        <w:rPr/>
      </w:pPr>
      <w:r>
        <w:rPr/>
        <w:t>Allows third-parties to enter into long-term contracts</w:t>
      </w:r>
    </w:p>
    <w:p>
      <w:pPr>
        <w:pStyle w:val="Normal"/>
        <w:numPr>
          <w:ilvl w:val="1"/>
          <w:numId w:val="5"/>
        </w:numPr>
        <w:rPr/>
      </w:pPr>
      <w:r>
        <w:rPr/>
        <w:t xml:space="preserve">The state must restore payments to Qualifying Facilities to ensure that the plants remain on-line and operating during the critical summer months. </w:t>
      </w:r>
    </w:p>
    <w:p>
      <w:pPr>
        <w:pStyle w:val="Normal"/>
        <w:ind w:start="144" w:end="0"/>
        <w:rPr/>
      </w:pPr>
      <w:r>
        <w:rPr/>
      </w:r>
    </w:p>
    <w:p>
      <w:pPr>
        <w:pStyle w:val="Normal"/>
        <w:numPr>
          <w:ilvl w:val="0"/>
          <w:numId w:val="5"/>
        </w:numPr>
        <w:rPr/>
      </w:pPr>
      <w:r>
        <w:rPr/>
        <w:t>Retail rates must be sufficient to cover going forward procurement costs.</w:t>
      </w:r>
    </w:p>
    <w:p>
      <w:pPr>
        <w:pStyle w:val="Normal"/>
        <w:rPr/>
      </w:pPr>
      <w:r>
        <w:rPr/>
      </w:r>
    </w:p>
    <w:p>
      <w:pPr>
        <w:pStyle w:val="Normal"/>
        <w:numPr>
          <w:ilvl w:val="0"/>
          <w:numId w:val="5"/>
        </w:numPr>
        <w:rPr/>
      </w:pPr>
      <w:r>
        <w:rPr/>
        <w:t>Retail rates must be sufficient to payoff all past debts.</w:t>
      </w:r>
    </w:p>
    <w:p>
      <w:pPr>
        <w:pStyle w:val="Normal"/>
        <w:rPr/>
      </w:pPr>
      <w:r>
        <w:rPr/>
      </w:r>
    </w:p>
    <w:p>
      <w:pPr>
        <w:pStyle w:val="Normal"/>
        <w:numPr>
          <w:ilvl w:val="0"/>
          <w:numId w:val="5"/>
        </w:numPr>
        <w:rPr/>
      </w:pPr>
      <w:r>
        <w:rPr/>
        <w:t xml:space="preserve">Utility undercollections are significant, as indicated in the table below, and will need to be recovered. </w:t>
      </w:r>
    </w:p>
    <w:p>
      <w:pPr>
        <w:pStyle w:val="Normal"/>
        <w:rPr/>
      </w:pPr>
      <w:r>
        <w:rPr/>
      </w:r>
    </w:p>
    <w:p>
      <w:pPr>
        <w:pStyle w:val="Normal"/>
        <w:numPr>
          <w:ilvl w:val="0"/>
          <w:numId w:val="5"/>
        </w:numPr>
        <w:rPr/>
      </w:pPr>
      <w:r>
        <w:rPr/>
        <w:t xml:space="preserve">To minimize rate shock, all Utility undercollections should be securitized and a non-bypassable dedicated rate component should be established.  </w:t>
      </w:r>
    </w:p>
    <w:p>
      <w:pPr>
        <w:pStyle w:val="Normal"/>
        <w:rPr/>
      </w:pPr>
      <w:r>
        <w:rPr/>
      </w:r>
    </w:p>
    <w:tbl>
      <w:tblPr>
        <w:tblW w:w="8556" w:type="dxa"/>
        <w:jc w:val="center"/>
        <w:tblInd w:w="0" w:type="dxa"/>
        <w:tblLayout w:type="fixed"/>
        <w:tblCellMar>
          <w:top w:w="15" w:type="dxa"/>
          <w:start w:w="15" w:type="dxa"/>
          <w:bottom w:w="0" w:type="dxa"/>
          <w:end w:w="15" w:type="dxa"/>
        </w:tblCellMar>
      </w:tblPr>
      <w:tblGrid>
        <w:gridCol w:w="790"/>
        <w:gridCol w:w="2366"/>
        <w:gridCol w:w="2700"/>
        <w:gridCol w:w="2700"/>
      </w:tblGrid>
      <w:tr>
        <w:trPr>
          <w:trHeight w:val="415" w:hRule="atLeast"/>
        </w:trPr>
        <w:tc>
          <w:tcPr>
            <w:tcW w:w="79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366"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Undercollection (as of June 1, 2001)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Required for recovery ($/MWh)*</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b/>
                <w:bCs/>
                <w:szCs w:val="20"/>
              </w:rPr>
            </w:pPr>
            <w:r>
              <w:rPr>
                <w:b/>
                <w:bCs/>
                <w:szCs w:val="20"/>
              </w:rPr>
              <w:t>Percentage Increase</w:t>
            </w:r>
          </w:p>
        </w:tc>
      </w:tr>
      <w:tr>
        <w:trPr>
          <w:trHeight w:val="255" w:hRule="atLeast"/>
        </w:trPr>
        <w:tc>
          <w:tcPr>
            <w:tcW w:w="79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36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C0C0C0"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CDWR</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$6.0</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b/>
                <w:bCs/>
                <w:szCs w:val="20"/>
              </w:rPr>
            </w:pPr>
            <w:r>
              <w:rPr>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bl>
    <w:p>
      <w:pPr>
        <w:pStyle w:val="Normal"/>
        <w:rPr/>
      </w:pPr>
      <w:r>
        <w:rPr/>
        <w:tab/>
        <w:tab/>
        <w:tab/>
        <w:tab/>
        <w:tab/>
        <w:t>*Assumes 15-yr. amortization @ 6% discount</w:t>
        <w:tab/>
      </w:r>
    </w:p>
    <w:p>
      <w:pPr>
        <w:pStyle w:val="Normal"/>
        <w:rPr/>
      </w:pPr>
      <w:r>
        <w:rPr/>
      </w:r>
    </w:p>
    <w:p>
      <w:pPr>
        <w:pStyle w:val="Normal"/>
        <w:numPr>
          <w:ilvl w:val="0"/>
          <w:numId w:val="10"/>
        </w:numPr>
        <w:rPr/>
      </w:pPr>
      <w:r>
        <w:rPr/>
        <w:t xml:space="preserve">CDWR should not issue debt. </w:t>
      </w:r>
    </w:p>
    <w:p>
      <w:pPr>
        <w:pStyle w:val="Normal"/>
        <w:rPr/>
      </w:pPr>
      <w:r>
        <w:rPr/>
      </w:r>
    </w:p>
    <w:p>
      <w:pPr>
        <w:pStyle w:val="Normal"/>
        <w:numPr>
          <w:ilvl w:val="0"/>
          <w:numId w:val="5"/>
        </w:numPr>
        <w:rPr/>
      </w:pPr>
      <w:r>
        <w:rPr>
          <w:color w:val="000000"/>
        </w:rPr>
        <w:t>CDWR must purchase all net short, including the power it has previously deemed “unreasonably” priced.</w:t>
      </w:r>
    </w:p>
    <w:p>
      <w:pPr>
        <w:pStyle w:val="BodyText"/>
        <w:rPr>
          <w:sz w:val="24"/>
          <w:u w:val="single"/>
        </w:rPr>
      </w:pPr>
      <w:r>
        <w:rPr>
          <w:sz w:val="24"/>
          <w:u w:val="single"/>
        </w:rPr>
      </w:r>
    </w:p>
    <w:p>
      <w:pPr>
        <w:pStyle w:val="Normal"/>
        <w:numPr>
          <w:ilvl w:val="0"/>
          <w:numId w:val="6"/>
        </w:numPr>
        <w:rPr/>
      </w:pPr>
      <w:r>
        <w:rPr/>
        <w:t>Direct Access will lessen the immense financial burden that CDWR’s power purchase activities are imposing on the State, strengthening the State’s credit rating.</w:t>
      </w:r>
    </w:p>
    <w:p>
      <w:pPr>
        <w:pStyle w:val="Header"/>
        <w:tabs>
          <w:tab w:val="clear" w:pos="4320"/>
          <w:tab w:val="clear" w:pos="8640"/>
        </w:tabs>
        <w:rPr/>
      </w:pPr>
      <w:r>
        <w:rPr/>
      </w:r>
    </w:p>
    <w:tbl>
      <w:tblPr>
        <w:tblW w:w="6661" w:type="dxa"/>
        <w:jc w:val="center"/>
        <w:tblInd w:w="0" w:type="dxa"/>
        <w:tblLayout w:type="fixed"/>
        <w:tblCellMar>
          <w:top w:w="0" w:type="dxa"/>
          <w:start w:w="15" w:type="dxa"/>
          <w:bottom w:w="0" w:type="dxa"/>
          <w:end w:w="15" w:type="dxa"/>
        </w:tblCellMar>
      </w:tblPr>
      <w:tblGrid>
        <w:gridCol w:w="1377"/>
        <w:gridCol w:w="2951"/>
        <w:gridCol w:w="2333"/>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Benefits of Direct Access to CDWR</w:t>
            </w:r>
          </w:p>
        </w:tc>
      </w:tr>
      <w:tr>
        <w:trPr>
          <w:trHeight w:val="1080" w:hRule="atLeast"/>
        </w:trPr>
        <w:tc>
          <w:tcPr>
            <w:tcW w:w="1377" w:type="dxa"/>
            <w:tcBorders>
              <w:start w:val="single" w:sz="4" w:space="0" w:color="000000"/>
            </w:tcBorders>
            <w:shd w:fill="C0C0C0" w:val="clear"/>
          </w:tcPr>
          <w:p>
            <w:pPr>
              <w:pStyle w:val="Normal"/>
              <w:jc w:val="center"/>
              <w:rPr>
                <w:rFonts w:eastAsia="Arial Unicode MS"/>
                <w:b/>
                <w:bCs/>
                <w:szCs w:val="20"/>
              </w:rPr>
            </w:pPr>
            <w:r>
              <w:rPr>
                <w:b/>
                <w:bCs/>
                <w:szCs w:val="20"/>
              </w:rPr>
              <w:t>%Customers on Direct Access</w:t>
            </w:r>
          </w:p>
        </w:tc>
        <w:tc>
          <w:tcPr>
            <w:tcW w:w="2951" w:type="dxa"/>
            <w:tcBorders/>
            <w:shd w:fill="C0C0C0" w:val="clear"/>
          </w:tcPr>
          <w:p>
            <w:pPr>
              <w:pStyle w:val="Normal"/>
              <w:jc w:val="center"/>
              <w:rPr>
                <w:b/>
                <w:bCs/>
                <w:szCs w:val="20"/>
              </w:rPr>
            </w:pPr>
            <w:r>
              <w:rPr>
                <w:b/>
                <w:bCs/>
                <w:szCs w:val="20"/>
              </w:rPr>
              <w:t xml:space="preserve">     </w:t>
            </w:r>
            <w:r>
              <w:rPr>
                <w:b/>
                <w:bCs/>
                <w:szCs w:val="20"/>
              </w:rPr>
              <w:t xml:space="preserve">Savings @ </w:t>
            </w:r>
          </w:p>
          <w:p>
            <w:pPr>
              <w:pStyle w:val="Normal"/>
              <w:jc w:val="center"/>
              <w:rPr>
                <w:b/>
                <w:bCs/>
                <w:szCs w:val="20"/>
              </w:rPr>
            </w:pPr>
            <w:r>
              <w:rPr>
                <w:b/>
                <w:bCs/>
                <w:szCs w:val="20"/>
              </w:rPr>
              <w:t xml:space="preserve">CDWR Portfolio Cost </w:t>
            </w:r>
          </w:p>
          <w:p>
            <w:pPr>
              <w:pStyle w:val="Normal"/>
              <w:jc w:val="center"/>
              <w:rPr>
                <w:rFonts w:eastAsia="Arial Unicode MS"/>
                <w:b/>
                <w:bCs/>
                <w:szCs w:val="20"/>
              </w:rPr>
            </w:pPr>
            <w:r>
              <w:rPr>
                <w:b/>
                <w:bCs/>
                <w:szCs w:val="20"/>
              </w:rPr>
              <w:t>$79/mWh</w:t>
            </w:r>
          </w:p>
        </w:tc>
        <w:tc>
          <w:tcPr>
            <w:tcW w:w="2333" w:type="dxa"/>
            <w:tcBorders>
              <w:end w:val="single" w:sz="4" w:space="0" w:color="000000"/>
            </w:tcBorders>
            <w:shd w:fill="C0C0C0" w:val="clear"/>
          </w:tcPr>
          <w:p>
            <w:pPr>
              <w:pStyle w:val="Normal"/>
              <w:jc w:val="center"/>
              <w:rPr>
                <w:b/>
                <w:bCs/>
                <w:szCs w:val="20"/>
              </w:rPr>
            </w:pPr>
            <w:r>
              <w:rPr>
                <w:b/>
                <w:bCs/>
                <w:szCs w:val="20"/>
              </w:rPr>
              <w:t xml:space="preserve">Savings @ </w:t>
            </w:r>
          </w:p>
          <w:p>
            <w:pPr>
              <w:pStyle w:val="Normal"/>
              <w:jc w:val="center"/>
              <w:rPr>
                <w:rFonts w:eastAsia="Arial Unicode MS"/>
                <w:b/>
                <w:bCs/>
                <w:szCs w:val="20"/>
              </w:rPr>
            </w:pPr>
            <w:r>
              <w:rPr>
                <w:b/>
                <w:bCs/>
                <w:szCs w:val="20"/>
              </w:rPr>
              <w:t>Market Price $250/mWh</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5%</w:t>
            </w:r>
          </w:p>
        </w:tc>
        <w:tc>
          <w:tcPr>
            <w:tcW w:w="2951" w:type="dxa"/>
            <w:tcBorders/>
            <w:shd w:fill="C0C0C0" w:val="clear"/>
          </w:tcPr>
          <w:p>
            <w:pPr>
              <w:pStyle w:val="Normal"/>
              <w:jc w:val="center"/>
              <w:rPr>
                <w:rFonts w:eastAsia="Arial Unicode MS"/>
                <w:szCs w:val="20"/>
              </w:rPr>
            </w:pPr>
            <w:r>
              <w:rPr>
                <w:szCs w:val="20"/>
              </w:rPr>
              <w:t xml:space="preserve">   </w:t>
            </w:r>
            <w:r>
              <w:rPr>
                <w:szCs w:val="20"/>
              </w:rPr>
              <w:t>$ 41  mm</w:t>
            </w:r>
          </w:p>
        </w:tc>
        <w:tc>
          <w:tcPr>
            <w:tcW w:w="2333"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10%</w:t>
            </w:r>
          </w:p>
        </w:tc>
        <w:tc>
          <w:tcPr>
            <w:tcW w:w="2951" w:type="dxa"/>
            <w:tcBorders/>
            <w:shd w:fill="C0C0C0" w:val="clear"/>
          </w:tcPr>
          <w:p>
            <w:pPr>
              <w:pStyle w:val="Normal"/>
              <w:jc w:val="center"/>
              <w:rPr>
                <w:rFonts w:eastAsia="Arial Unicode MS"/>
                <w:szCs w:val="20"/>
              </w:rPr>
            </w:pPr>
            <w:r>
              <w:rPr>
                <w:szCs w:val="20"/>
              </w:rPr>
              <w:t xml:space="preserve">   </w:t>
            </w:r>
            <w:r>
              <w:rPr>
                <w:szCs w:val="20"/>
              </w:rPr>
              <w:t>$ 82  mm</w:t>
            </w:r>
          </w:p>
        </w:tc>
        <w:tc>
          <w:tcPr>
            <w:tcW w:w="2333"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15%</w:t>
            </w:r>
          </w:p>
        </w:tc>
        <w:tc>
          <w:tcPr>
            <w:tcW w:w="2951" w:type="dxa"/>
            <w:tcBorders/>
            <w:shd w:fill="C0C0C0" w:val="clear"/>
          </w:tcPr>
          <w:p>
            <w:pPr>
              <w:pStyle w:val="Normal"/>
              <w:jc w:val="center"/>
              <w:rPr>
                <w:rFonts w:eastAsia="Arial Unicode MS"/>
                <w:szCs w:val="20"/>
              </w:rPr>
            </w:pPr>
            <w:r>
              <w:rPr>
                <w:szCs w:val="20"/>
              </w:rPr>
              <w:t xml:space="preserve">   </w:t>
            </w:r>
            <w:r>
              <w:rPr>
                <w:szCs w:val="20"/>
              </w:rPr>
              <w:t>$123 mm</w:t>
            </w:r>
          </w:p>
        </w:tc>
        <w:tc>
          <w:tcPr>
            <w:tcW w:w="2333"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377"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295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333"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6"/>
        </w:numPr>
        <w:rPr/>
      </w:pPr>
      <w:r>
        <w:rPr/>
        <w:t>Estimated retail prices for core customers and non-core customers from June 1, 2001 until January 1, 2003 =</w:t>
      </w:r>
    </w:p>
    <w:p>
      <w:pPr>
        <w:pStyle w:val="Normal"/>
        <w:rPr/>
      </w:pPr>
      <w:r>
        <w:rPr/>
      </w:r>
    </w:p>
    <w:p>
      <w:pPr>
        <w:pStyle w:val="Normal"/>
        <w:rPr>
          <w:b/>
          <w:bCs/>
        </w:rPr>
      </w:pPr>
      <w:r>
        <w:rPr>
          <w:b/>
          <w:bCs/>
        </w:rPr>
        <w:t>NEED TO BUILD THIS TABLE.</w:t>
      </w:r>
    </w:p>
    <w:p>
      <w:pPr>
        <w:pStyle w:val="Normal"/>
        <w:rPr>
          <w:b/>
          <w:bCs/>
        </w:rPr>
      </w:pPr>
      <w:r>
        <w:rPr>
          <w:b/>
          <w:bCs/>
        </w:rPr>
      </w:r>
    </w:p>
    <w:p>
      <w:pPr>
        <w:pStyle w:val="Normal"/>
        <w:rPr/>
      </w:pPr>
      <w:r>
        <w:rPr/>
      </w:r>
    </w:p>
    <w:p>
      <w:pPr>
        <w:pStyle w:val="Normal"/>
        <w:rPr/>
      </w:pPr>
      <w:r>
        <w:rPr/>
      </w:r>
    </w:p>
    <w:p>
      <w:pPr>
        <w:pStyle w:val="Heading1"/>
        <w:ind w:hanging="0" w:start="0"/>
        <w:rPr/>
      </w:pPr>
      <w:r>
        <w:rPr/>
        <w:t>Develop new Natural Gas Infrastructure</w:t>
      </w:r>
    </w:p>
    <w:p>
      <w:pPr>
        <w:pStyle w:val="BodyText"/>
        <w:rPr>
          <w:sz w:val="24"/>
          <w:u w:val="single"/>
        </w:rPr>
      </w:pPr>
      <w:r>
        <w:rPr>
          <w:sz w:val="24"/>
          <w:u w:val="single"/>
        </w:rPr>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504"/>
        </w:tabs>
        <w:ind w:start="504" w:hanging="360"/>
      </w:pPr>
      <w:rPr>
        <w:rFonts w:ascii="Symbol" w:hAnsi="Symbol" w:cs="Symbol" w:hint="default"/>
        <w:sz w:val="22"/>
      </w:rPr>
    </w:lvl>
  </w:abstractNum>
  <w:abstractNum w:abstractNumId="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0">
    <w:lvl w:ilvl="0">
      <w:start w:val="1"/>
      <w:numFmt w:val="bullet"/>
      <w:lvlText w:val=""/>
      <w:lvlJc w:val="start"/>
      <w:pPr>
        <w:tabs>
          <w:tab w:val="num" w:pos="504"/>
        </w:tabs>
        <w:ind w:start="504" w:hanging="360"/>
      </w:pPr>
      <w:rPr>
        <w:rFonts w:ascii="Symbol" w:hAnsi="Symbol" w:cs="Symbol" w:hint="default"/>
        <w:sz w:val="22"/>
      </w:rPr>
    </w:lvl>
  </w:abstractNum>
  <w:abstractNum w:abstractNumId="11">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o"/>
      <w:lvlJc w:val="start"/>
      <w:pPr>
        <w:tabs>
          <w:tab w:val="num" w:pos="1440"/>
        </w:tabs>
        <w:ind w:start="1440" w:hanging="360"/>
      </w:pPr>
      <w:rPr>
        <w:rFonts w:ascii="Courier New" w:hAnsi="Courier New" w:cs="Courier New" w:hint="default"/>
      </w:rPr>
    </w:lvl>
  </w:abstractNum>
  <w:abstractNum w:abstractNumId="14">
    <w:lvl w:ilvl="0">
      <w:start w:val="1"/>
      <w:numFmt w:val="bullet"/>
      <w:lvlText w:val=""/>
      <w:lvlJc w:val="start"/>
      <w:pPr>
        <w:tabs>
          <w:tab w:val="num" w:pos="576"/>
        </w:tabs>
        <w:ind w:start="576" w:hanging="432"/>
      </w:pPr>
      <w:rPr>
        <w:rFonts w:ascii="Symbol" w:hAnsi="Symbol" w:cs="Symbol"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numFmt w:val="bullet"/>
      <w:lvlText w:val="-"/>
      <w:lvlJc w:val="start"/>
      <w:pPr>
        <w:tabs>
          <w:tab w:val="num" w:pos="936"/>
        </w:tabs>
        <w:ind w:start="936" w:hanging="360"/>
      </w:pPr>
      <w:rPr>
        <w:rFonts w:ascii="Times New Roman" w:hAnsi="Times New Roman" w:cs="Times New Roman" w:hint="default"/>
      </w:rPr>
    </w:lvl>
  </w:abstractNum>
  <w:abstractNum w:abstractNumId="17">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2"/>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Times New Roman" w:hAnsi="Times New Roman" w:eastAsia="Times New Roman" w:cs="Times New Roman"/>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b/>
      <w:i w:val="false"/>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sz w:val="2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Times New Roman" w:hAnsi="Times New Roman" w:eastAsia="Times New Roman" w:cs="Times New Roman"/>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Symbol" w:hAnsi="Symbol" w:cs="Symbol"/>
      <w:sz w:val="24"/>
    </w:rPr>
  </w:style>
  <w:style w:type="character" w:styleId="WW8Num30z3">
    <w:name w:val="WW8Num30z3"/>
    <w:qFormat/>
    <w:rPr>
      <w:rFonts w:ascii="Times New Roman" w:hAnsi="Times New Roman" w:eastAsia="Times New Roman" w:cs="Times New Roman"/>
    </w:rPr>
  </w:style>
  <w:style w:type="character" w:styleId="WW8Num30z5">
    <w:name w:val="WW8Num30z5"/>
    <w:qFormat/>
    <w:rPr>
      <w:rFonts w:ascii="Wingdings" w:hAnsi="Wingdings" w:cs="Wingdings"/>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2z1">
    <w:name w:val="WW8Num32z1"/>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Wingdings" w:hAnsi="Wingdings" w:cs="Wingdings"/>
      <w:b/>
      <w:i w:val="false"/>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sz w:val="22"/>
    </w:rPr>
  </w:style>
  <w:style w:type="character" w:styleId="WW8Num41z1">
    <w:name w:val="WW8Num41z1"/>
    <w:qFormat/>
    <w:rPr>
      <w:rFonts w:ascii="Times New Roman" w:hAnsi="Times New Roman" w:eastAsia="Times New Roman" w:cs="Times New Roman"/>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1z4">
    <w:name w:val="WW8Num41z4"/>
    <w:qFormat/>
    <w:rPr>
      <w:rFonts w:ascii="Courier New" w:hAnsi="Courier New" w:cs="Courier New"/>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2">
    <w:name w:val="WW8Num43z2"/>
    <w:qFormat/>
    <w:rPr>
      <w:rFonts w:ascii="Wingdings" w:hAnsi="Wingdings" w:cs="Wingdings"/>
    </w:rPr>
  </w:style>
  <w:style w:type="character" w:styleId="WW8Num43z4">
    <w:name w:val="WW8Num43z4"/>
    <w:qFormat/>
    <w:rPr>
      <w:rFonts w:ascii="Courier New" w:hAnsi="Courier New" w:cs="Courier New"/>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Wingdings" w:hAnsi="Wingdings" w:cs="Wingdings"/>
    </w:rPr>
  </w:style>
  <w:style w:type="character" w:styleId="WW8Num47z4">
    <w:name w:val="WW8Num47z4"/>
    <w:qFormat/>
    <w:rPr>
      <w:rFonts w:ascii="Courier New" w:hAnsi="Courier New" w:cs="Courier New"/>
    </w:rPr>
  </w:style>
  <w:style w:type="character" w:styleId="WW8Num48z0">
    <w:name w:val="WW8Num48z0"/>
    <w:qFormat/>
    <w:rPr>
      <w:rFonts w:ascii="Symbol" w:hAnsi="Symbol" w:cs="Symbol"/>
    </w:rPr>
  </w:style>
  <w:style w:type="character" w:styleId="WW8Num48z1">
    <w:name w:val="WW8Num48z1"/>
    <w:qFormat/>
    <w:rPr>
      <w:rFonts w:ascii="Symbol" w:hAnsi="Symbol" w:cs="Symbol"/>
      <w:sz w:val="22"/>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style>
  <w:style w:type="character" w:styleId="WW8Num49z1">
    <w:name w:val="WW8Num49z1"/>
    <w:qFormat/>
    <w:rPr>
      <w:rFonts w:ascii="Symbol" w:hAnsi="Symbol" w:cs="Symbol"/>
    </w:rPr>
  </w:style>
  <w:style w:type="character" w:styleId="WW8Num50z0">
    <w:name w:val="WW8Num50z0"/>
    <w:qFormat/>
    <w:rPr>
      <w:rFonts w:ascii="Symbol" w:hAnsi="Symbol" w:cs="Symbol"/>
      <w:sz w:val="24"/>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5">
    <w:name w:val="WW8Num51z5"/>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style>
  <w:style w:type="character" w:styleId="WW8Num54z0">
    <w:name w:val="WW8Num54z0"/>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Times New Roman" w:hAnsi="Times New Roman" w:eastAsia="Times New Roman" w:cs="Times New Roman"/>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1">
    <w:name w:val="WW8Num57z1"/>
    <w:qFormat/>
    <w:rPr>
      <w:rFonts w:ascii="Symbol" w:hAnsi="Symbol" w:cs="Symbol"/>
    </w:rPr>
  </w:style>
  <w:style w:type="character" w:styleId="WW8Num58z0">
    <w:name w:val="WW8Num58z0"/>
    <w:qFormat/>
    <w:rPr>
      <w:rFonts w:ascii="Symbol" w:hAnsi="Symbol" w:cs="Symbol"/>
      <w:sz w:val="28"/>
    </w:rPr>
  </w:style>
  <w:style w:type="character" w:styleId="WW8Num58z1">
    <w:name w:val="WW8Num58z1"/>
    <w:qFormat/>
    <w:rPr>
      <w:rFonts w:ascii="Times New Roman" w:hAnsi="Times New Roman" w:eastAsia="Times New Roman" w:cs="Times New Roman"/>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2001-04-26T00:01:00Z</dcterms:created>
  <dc:creator>jthome</dc:creator>
  <dc:description/>
  <dc:language>en-CA</dc:language>
  <cp:lastModifiedBy>jsteffe</cp:lastModifiedBy>
  <cp:lastPrinted>2001-04-23T15:48:00Z</cp:lastPrinted>
  <dcterms:modified xsi:type="dcterms:W3CDTF">2001-04-26T00:01:00Z</dcterms:modified>
  <cp:revision>2</cp:revision>
  <dc:subject/>
  <dc:title>Solutions to the California Energy Crisis</dc:title>
</cp:coreProperties>
</file>