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0"/>
        </w:rPr>
      </w:pPr>
      <w:r>
        <w:rPr>
          <w:smallCaps/>
          <w:sz w:val="20"/>
        </w:rPr>
        <w:t>The Current Situation In California</w:t>
      </w:r>
    </w:p>
    <w:p>
      <w:pPr>
        <w:pStyle w:val="Heading"/>
        <w:jc w:val="both"/>
        <w:rPr>
          <w:b w:val="false"/>
          <w:bCs w:val="false"/>
          <w:smallCaps/>
          <w:sz w:val="20"/>
        </w:rPr>
      </w:pPr>
      <w:r>
        <w:rPr>
          <w:b w:val="false"/>
          <w:bCs w:val="false"/>
          <w:smallCaps/>
          <w:sz w:val="20"/>
        </w:rPr>
      </w:r>
    </w:p>
    <w:p>
      <w:pPr>
        <w:pStyle w:val="Subtitle"/>
        <w:jc w:val="both"/>
        <w:rPr>
          <w:b/>
          <w:bCs/>
        </w:rPr>
      </w:pPr>
      <w:r>
        <w:rPr>
          <w:b/>
          <w:bCs/>
        </w:rPr>
        <w:t>Background</w:t>
      </w:r>
    </w:p>
    <w:p>
      <w:pPr>
        <w:pStyle w:val="Normal"/>
        <w:numPr>
          <w:ilvl w:val="0"/>
          <w:numId w:val="5"/>
        </w:numPr>
        <w:tabs>
          <w:tab w:val="clear" w:pos="720"/>
        </w:tabs>
        <w:jc w:val="both"/>
        <w:rPr>
          <w:sz w:val="20"/>
        </w:rPr>
      </w:pPr>
      <w:r>
        <w:rPr>
          <w:sz w:val="20"/>
        </w:rPr>
        <w:t>In 1996, the utilities persuaded the California Commission and the Legislature to reject the market-oriented deregulation plan proposed by the Commission’s staff.</w:t>
      </w:r>
    </w:p>
    <w:p>
      <w:pPr>
        <w:pStyle w:val="Normal"/>
        <w:numPr>
          <w:ilvl w:val="0"/>
          <w:numId w:val="5"/>
        </w:numPr>
        <w:tabs>
          <w:tab w:val="clear" w:pos="720"/>
        </w:tabs>
        <w:jc w:val="both"/>
        <w:rPr>
          <w:sz w:val="20"/>
        </w:rPr>
      </w:pPr>
      <w:r>
        <w:rPr>
          <w:sz w:val="20"/>
        </w:rPr>
        <w:t>The staff proposal emphasized the need for bilateral contracts and a robust retail market.</w:t>
      </w:r>
    </w:p>
    <w:p>
      <w:pPr>
        <w:pStyle w:val="Normal"/>
        <w:numPr>
          <w:ilvl w:val="0"/>
          <w:numId w:val="5"/>
        </w:numPr>
        <w:tabs>
          <w:tab w:val="clear" w:pos="720"/>
        </w:tabs>
        <w:jc w:val="both"/>
        <w:rPr>
          <w:sz w:val="20"/>
        </w:rPr>
      </w:pPr>
      <w:r>
        <w:rPr>
          <w:sz w:val="20"/>
        </w:rPr>
        <w:t>In place of the Commission staff’s plan, the Legislature adopted the utility-sponsored restructuring plan.</w:t>
      </w:r>
    </w:p>
    <w:p>
      <w:pPr>
        <w:pStyle w:val="Normal"/>
        <w:numPr>
          <w:ilvl w:val="0"/>
          <w:numId w:val="5"/>
        </w:numPr>
        <w:tabs>
          <w:tab w:val="clear" w:pos="720"/>
        </w:tabs>
        <w:jc w:val="both"/>
        <w:rPr>
          <w:sz w:val="20"/>
        </w:rPr>
      </w:pPr>
      <w:r>
        <w:rPr>
          <w:sz w:val="20"/>
        </w:rPr>
        <w:t>The utilities’ plan emphasized artificial retail rate caps and a state-designed spot market (the PX), and ignored the development of a retail market.</w:t>
      </w:r>
    </w:p>
    <w:p>
      <w:pPr>
        <w:pStyle w:val="Normal"/>
        <w:jc w:val="both"/>
        <w:rPr>
          <w:sz w:val="20"/>
        </w:rPr>
      </w:pPr>
      <w:r>
        <w:rPr>
          <w:sz w:val="20"/>
        </w:rPr>
      </w:r>
    </w:p>
    <w:p>
      <w:pPr>
        <w:pStyle w:val="Heading1"/>
        <w:ind w:hanging="0" w:start="0"/>
        <w:jc w:val="both"/>
        <w:rPr>
          <w:b/>
          <w:bCs/>
          <w:i w:val="false"/>
          <w:i w:val="false"/>
          <w:iCs w:val="false"/>
        </w:rPr>
      </w:pPr>
      <w:r>
        <w:rPr>
          <w:b/>
          <w:bCs/>
        </w:rPr>
        <w:t>The short-term issue—Utility cash flow/credit problem</w:t>
      </w:r>
    </w:p>
    <w:p>
      <w:pPr>
        <w:pStyle w:val="Normal"/>
        <w:numPr>
          <w:ilvl w:val="0"/>
          <w:numId w:val="5"/>
        </w:numPr>
        <w:tabs>
          <w:tab w:val="clear" w:pos="720"/>
        </w:tabs>
        <w:jc w:val="both"/>
        <w:rPr>
          <w:sz w:val="20"/>
        </w:rPr>
      </w:pPr>
      <w:r>
        <w:rPr>
          <w:sz w:val="20"/>
        </w:rPr>
        <w:t>Today, the utilities find themselves the victims of their own flawed restructuring proposal and are demanding that California consumers make them whole.</w:t>
      </w:r>
    </w:p>
    <w:p>
      <w:pPr>
        <w:pStyle w:val="Normal"/>
        <w:numPr>
          <w:ilvl w:val="1"/>
          <w:numId w:val="2"/>
        </w:numPr>
        <w:tabs>
          <w:tab w:val="clear" w:pos="720"/>
        </w:tabs>
        <w:ind w:hanging="288" w:start="540" w:end="0"/>
        <w:jc w:val="both"/>
        <w:rPr>
          <w:sz w:val="20"/>
        </w:rPr>
      </w:pPr>
      <w:r>
        <w:rPr>
          <w:sz w:val="20"/>
        </w:rPr>
        <w:t xml:space="preserve">For the first two years of deregulation (1998-2000), wholesale electricity prices remained persistently </w:t>
      </w:r>
      <w:r>
        <w:rPr>
          <w:i/>
          <w:iCs/>
          <w:sz w:val="20"/>
        </w:rPr>
        <w:t>below</w:t>
      </w:r>
      <w:r>
        <w:rPr>
          <w:sz w:val="20"/>
        </w:rPr>
        <w:t xml:space="preserve"> the retail price cap and utilities collected billions of dollars to pay for “stranded costs.”</w:t>
      </w:r>
    </w:p>
    <w:p>
      <w:pPr>
        <w:pStyle w:val="Normal"/>
        <w:numPr>
          <w:ilvl w:val="1"/>
          <w:numId w:val="2"/>
        </w:numPr>
        <w:tabs>
          <w:tab w:val="clear" w:pos="720"/>
        </w:tabs>
        <w:ind w:hanging="288" w:start="540" w:end="0"/>
        <w:jc w:val="both"/>
        <w:rPr>
          <w:sz w:val="20"/>
        </w:rPr>
      </w:pPr>
      <w:r>
        <w:rPr>
          <w:sz w:val="20"/>
        </w:rPr>
        <w:t>The utilities ploughed the excess funds into out-of-state investment (e.g., PG&amp;E bought NEES’ power plants, Valero pipeline (which it later sold for a significant loss), and an electric distribution company in New Zealand; Edison bought Midwest coal plants; SDG&amp;E (Sempra) bought distribution networks in Mexico and a trading firm in Connecticut.)</w:t>
      </w:r>
    </w:p>
    <w:p>
      <w:pPr>
        <w:pStyle w:val="Normal"/>
        <w:numPr>
          <w:ilvl w:val="1"/>
          <w:numId w:val="2"/>
        </w:numPr>
        <w:tabs>
          <w:tab w:val="clear" w:pos="720"/>
        </w:tabs>
        <w:ind w:hanging="288" w:start="540" w:end="0"/>
        <w:jc w:val="both"/>
        <w:rPr>
          <w:sz w:val="20"/>
        </w:rPr>
      </w:pPr>
      <w:r>
        <w:rPr>
          <w:sz w:val="20"/>
        </w:rPr>
        <w:t>The situation reversed in the Summer of 2000 when California’s decade-long failure to allow power plant development led to a severe power shortage as demand dramatically outstripped supply.</w:t>
      </w:r>
    </w:p>
    <w:p>
      <w:pPr>
        <w:pStyle w:val="Normal"/>
        <w:numPr>
          <w:ilvl w:val="1"/>
          <w:numId w:val="2"/>
        </w:numPr>
        <w:tabs>
          <w:tab w:val="clear" w:pos="720"/>
        </w:tabs>
        <w:ind w:hanging="288" w:start="540" w:end="0"/>
        <w:jc w:val="both"/>
        <w:rPr>
          <w:sz w:val="20"/>
        </w:rPr>
      </w:pPr>
      <w:r>
        <w:rPr>
          <w:sz w:val="20"/>
        </w:rPr>
        <w:t>The utility restructuring plan’s failure to address retail markets made matters worse since California customers are shielded from the price signals needed to prompt demand-responsiveness.</w:t>
      </w:r>
    </w:p>
    <w:p>
      <w:pPr>
        <w:pStyle w:val="Normal"/>
        <w:numPr>
          <w:ilvl w:val="1"/>
          <w:numId w:val="2"/>
        </w:numPr>
        <w:tabs>
          <w:tab w:val="clear" w:pos="720"/>
        </w:tabs>
        <w:ind w:hanging="288" w:start="540" w:end="0"/>
        <w:jc w:val="both"/>
        <w:rPr>
          <w:sz w:val="20"/>
        </w:rPr>
      </w:pPr>
      <w:r>
        <w:rPr>
          <w:sz w:val="20"/>
        </w:rPr>
        <w:t xml:space="preserve">Since Summer 2000, wholesale power prices have remained persistently </w:t>
      </w:r>
      <w:r>
        <w:rPr>
          <w:i/>
          <w:iCs/>
          <w:sz w:val="20"/>
        </w:rPr>
        <w:t>above</w:t>
      </w:r>
      <w:r>
        <w:rPr>
          <w:sz w:val="20"/>
        </w:rPr>
        <w:t xml:space="preserve"> the utility-sponsored retail price cap, which has forced the utilities to rely on lenders to fund power purchases.</w:t>
      </w:r>
    </w:p>
    <w:p>
      <w:pPr>
        <w:pStyle w:val="Normal"/>
        <w:numPr>
          <w:ilvl w:val="1"/>
          <w:numId w:val="2"/>
        </w:numPr>
        <w:tabs>
          <w:tab w:val="clear" w:pos="720"/>
        </w:tabs>
        <w:ind w:hanging="288" w:start="540" w:end="0"/>
        <w:jc w:val="both"/>
        <w:rPr>
          <w:sz w:val="20"/>
        </w:rPr>
      </w:pPr>
      <w:r>
        <w:rPr>
          <w:sz w:val="20"/>
        </w:rPr>
        <w:t>The utilities’ negative cash flow has led to a credit crunch that the utilities claim has pushed them to the edge of insolvency.</w:t>
      </w:r>
    </w:p>
    <w:p>
      <w:pPr>
        <w:pStyle w:val="Normal"/>
        <w:numPr>
          <w:ilvl w:val="1"/>
          <w:numId w:val="2"/>
        </w:numPr>
        <w:tabs>
          <w:tab w:val="clear" w:pos="720"/>
        </w:tabs>
        <w:ind w:hanging="288" w:start="540" w:end="0"/>
        <w:jc w:val="both"/>
        <w:rPr>
          <w:sz w:val="20"/>
        </w:rPr>
      </w:pPr>
      <w:r>
        <w:rPr>
          <w:sz w:val="20"/>
        </w:rPr>
        <w:t>The utilities are demanding that the California PUC increase prices by 20-30% and have threatened to file in bankruptcy court unless the their every demand is met.</w:t>
      </w:r>
    </w:p>
    <w:p>
      <w:pPr>
        <w:pStyle w:val="Normal"/>
        <w:jc w:val="both"/>
        <w:rPr>
          <w:sz w:val="20"/>
        </w:rPr>
      </w:pPr>
      <w:r>
        <w:rPr>
          <w:sz w:val="20"/>
        </w:rPr>
      </w:r>
    </w:p>
    <w:p>
      <w:pPr>
        <w:pStyle w:val="Heading1"/>
        <w:ind w:hanging="0" w:start="0"/>
        <w:jc w:val="both"/>
        <w:rPr>
          <w:b/>
          <w:bCs/>
        </w:rPr>
      </w:pPr>
      <w:r>
        <w:rPr>
          <w:b/>
          <w:bCs/>
        </w:rPr>
        <w:t>The utilities’ flawed restructuring plan has now created a political crisis for the Governor</w:t>
      </w:r>
    </w:p>
    <w:p>
      <w:pPr>
        <w:pStyle w:val="Normal"/>
        <w:numPr>
          <w:ilvl w:val="0"/>
          <w:numId w:val="5"/>
        </w:numPr>
        <w:tabs>
          <w:tab w:val="clear" w:pos="720"/>
        </w:tabs>
        <w:jc w:val="both"/>
        <w:rPr>
          <w:sz w:val="20"/>
        </w:rPr>
      </w:pPr>
      <w:r>
        <w:rPr>
          <w:sz w:val="20"/>
        </w:rPr>
        <w:t>The Governor has been unwilling to take the decisive action needed to stabilize prices, the utilities’ financial position and electricity markets in the West.</w:t>
      </w:r>
    </w:p>
    <w:p>
      <w:pPr>
        <w:pStyle w:val="Normal"/>
        <w:numPr>
          <w:ilvl w:val="0"/>
          <w:numId w:val="5"/>
        </w:numPr>
        <w:tabs>
          <w:tab w:val="clear" w:pos="720"/>
        </w:tabs>
        <w:jc w:val="both"/>
        <w:rPr>
          <w:sz w:val="20"/>
        </w:rPr>
      </w:pPr>
      <w:r>
        <w:rPr>
          <w:sz w:val="20"/>
        </w:rPr>
        <w:t>He recently signed a token bill designed to speed the permitting of power plants, but action was too little, too late, and significantly more effort needs to be take to get power plants built and on line.</w:t>
      </w:r>
    </w:p>
    <w:p>
      <w:pPr>
        <w:pStyle w:val="Normal"/>
        <w:numPr>
          <w:ilvl w:val="0"/>
          <w:numId w:val="5"/>
        </w:numPr>
        <w:tabs>
          <w:tab w:val="clear" w:pos="720"/>
        </w:tabs>
        <w:jc w:val="both"/>
        <w:rPr>
          <w:sz w:val="20"/>
        </w:rPr>
      </w:pPr>
      <w:r>
        <w:rPr>
          <w:sz w:val="20"/>
        </w:rPr>
        <w:t>Such actions include the need to temporarily relax California’s stringent air emission standards to permit plants to produce more power, but Davis is reluctant for fear of angering the environmental lobby.</w:t>
      </w:r>
    </w:p>
    <w:p>
      <w:pPr>
        <w:pStyle w:val="Normal"/>
        <w:numPr>
          <w:ilvl w:val="0"/>
          <w:numId w:val="5"/>
        </w:numPr>
        <w:tabs>
          <w:tab w:val="clear" w:pos="720"/>
        </w:tabs>
        <w:jc w:val="both"/>
        <w:rPr>
          <w:sz w:val="20"/>
        </w:rPr>
      </w:pPr>
      <w:r>
        <w:rPr>
          <w:sz w:val="20"/>
        </w:rPr>
        <w:t>The Governor of Washington recently wrote Davis a letter claiming that Davis’ failure to relax air emission regulations was forcing Washington to harm its environment by violating water flow requirements in order to send more hydro power from BPA to California.</w:t>
      </w:r>
    </w:p>
    <w:p>
      <w:pPr>
        <w:pStyle w:val="Normal"/>
        <w:numPr>
          <w:ilvl w:val="0"/>
          <w:numId w:val="5"/>
        </w:numPr>
        <w:tabs>
          <w:tab w:val="clear" w:pos="720"/>
        </w:tabs>
        <w:jc w:val="both"/>
        <w:rPr>
          <w:sz w:val="20"/>
        </w:rPr>
      </w:pPr>
      <w:r>
        <w:rPr>
          <w:sz w:val="20"/>
        </w:rPr>
        <w:t>The Western Governors have expressed displeasure with California’s failure to take decisive action to resolve its electricity problem, have complained that failure to act has led to negative spillover effects for the other Western states, and held an “energy summit” last week to discuss the issue.</w:t>
      </w:r>
    </w:p>
    <w:p>
      <w:pPr>
        <w:pStyle w:val="Normal"/>
        <w:numPr>
          <w:ilvl w:val="0"/>
          <w:numId w:val="5"/>
        </w:numPr>
        <w:tabs>
          <w:tab w:val="clear" w:pos="720"/>
        </w:tabs>
        <w:jc w:val="both"/>
        <w:rPr>
          <w:sz w:val="20"/>
        </w:rPr>
      </w:pPr>
      <w:r>
        <w:rPr>
          <w:sz w:val="20"/>
        </w:rPr>
        <w:t>Davis did not attend the summit.</w:t>
      </w:r>
    </w:p>
    <w:p>
      <w:pPr>
        <w:pStyle w:val="Normal"/>
        <w:numPr>
          <w:ilvl w:val="0"/>
          <w:numId w:val="5"/>
        </w:numPr>
        <w:tabs>
          <w:tab w:val="clear" w:pos="720"/>
        </w:tabs>
        <w:jc w:val="both"/>
        <w:rPr>
          <w:sz w:val="20"/>
        </w:rPr>
      </w:pPr>
      <w:r>
        <w:rPr>
          <w:sz w:val="20"/>
        </w:rPr>
        <w:t>At the summit, the Western Governor’s issued the following recommendations:</w:t>
      </w:r>
    </w:p>
    <w:p>
      <w:pPr>
        <w:pStyle w:val="Normal"/>
        <w:numPr>
          <w:ilvl w:val="0"/>
          <w:numId w:val="7"/>
        </w:numPr>
        <w:tabs>
          <w:tab w:val="clear" w:pos="720"/>
        </w:tabs>
        <w:autoSpaceDE w:val="false"/>
        <w:spacing w:lineRule="atLeast" w:line="240"/>
        <w:jc w:val="both"/>
        <w:rPr>
          <w:color w:val="000000"/>
          <w:sz w:val="20"/>
          <w:szCs w:val="20"/>
        </w:rPr>
      </w:pPr>
      <w:r>
        <w:rPr>
          <w:color w:val="000000"/>
          <w:sz w:val="20"/>
          <w:szCs w:val="20"/>
        </w:rPr>
        <w:t>California should aggressively pursue all available DSM and conservation opportunties.</w:t>
      </w:r>
    </w:p>
    <w:p>
      <w:pPr>
        <w:pStyle w:val="Normal"/>
        <w:keepLines/>
        <w:numPr>
          <w:ilvl w:val="0"/>
          <w:numId w:val="7"/>
        </w:numPr>
        <w:tabs>
          <w:tab w:val="clear" w:pos="720"/>
        </w:tabs>
        <w:autoSpaceDE w:val="false"/>
        <w:spacing w:lineRule="atLeast" w:line="240"/>
        <w:jc w:val="both"/>
        <w:rPr>
          <w:color w:val="000000"/>
          <w:sz w:val="20"/>
          <w:szCs w:val="20"/>
        </w:rPr>
      </w:pPr>
      <w:r>
        <w:rPr>
          <w:color w:val="000000"/>
          <w:sz w:val="20"/>
          <w:szCs w:val="20"/>
        </w:rPr>
        <w:t>The Western region should also be much more aggressive in identifying and implementing DSM and efficiency opportunities.</w:t>
      </w:r>
    </w:p>
    <w:p>
      <w:pPr>
        <w:pStyle w:val="Normal"/>
        <w:keepLines/>
        <w:numPr>
          <w:ilvl w:val="0"/>
          <w:numId w:val="7"/>
        </w:numPr>
        <w:tabs>
          <w:tab w:val="clear" w:pos="720"/>
        </w:tabs>
        <w:autoSpaceDE w:val="false"/>
        <w:spacing w:lineRule="atLeast" w:line="240"/>
        <w:jc w:val="both"/>
        <w:rPr>
          <w:color w:val="000000"/>
          <w:sz w:val="20"/>
          <w:szCs w:val="20"/>
        </w:rPr>
      </w:pPr>
      <w:r>
        <w:rPr>
          <w:color w:val="000000"/>
          <w:sz w:val="20"/>
          <w:szCs w:val="20"/>
        </w:rPr>
        <w:t>Increase supply as soon as possible.</w:t>
      </w:r>
    </w:p>
    <w:p>
      <w:pPr>
        <w:pStyle w:val="Normal"/>
        <w:keepLines/>
        <w:numPr>
          <w:ilvl w:val="0"/>
          <w:numId w:val="7"/>
        </w:numPr>
        <w:tabs>
          <w:tab w:val="clear" w:pos="720"/>
        </w:tabs>
        <w:autoSpaceDE w:val="false"/>
        <w:spacing w:lineRule="atLeast" w:line="240"/>
        <w:jc w:val="both"/>
        <w:rPr>
          <w:color w:val="000000"/>
          <w:sz w:val="20"/>
          <w:szCs w:val="20"/>
        </w:rPr>
      </w:pPr>
      <w:r>
        <w:rPr>
          <w:color w:val="000000"/>
          <w:sz w:val="20"/>
          <w:szCs w:val="20"/>
        </w:rPr>
        <w:t>FERC should do an investigation into the potentially negative effects that price caps can cause in the industry.</w:t>
      </w:r>
    </w:p>
    <w:p>
      <w:pPr>
        <w:pStyle w:val="Normal"/>
        <w:keepLines/>
        <w:numPr>
          <w:ilvl w:val="0"/>
          <w:numId w:val="7"/>
        </w:numPr>
        <w:tabs>
          <w:tab w:val="clear" w:pos="720"/>
        </w:tabs>
        <w:autoSpaceDE w:val="false"/>
        <w:spacing w:lineRule="atLeast" w:line="240"/>
        <w:jc w:val="both"/>
        <w:rPr>
          <w:sz w:val="20"/>
        </w:rPr>
      </w:pPr>
      <w:r>
        <w:rPr>
          <w:sz w:val="20"/>
        </w:rPr>
        <w:t xml:space="preserve">FERC Commissioner Hoecker said that he is not inclined to impose a region-wide cap until California takes the actions necessary to alleviate the situation. </w:t>
      </w:r>
    </w:p>
    <w:p>
      <w:pPr>
        <w:pStyle w:val="Normal"/>
        <w:keepLines/>
        <w:numPr>
          <w:ilvl w:val="0"/>
          <w:numId w:val="7"/>
        </w:numPr>
        <w:tabs>
          <w:tab w:val="clear" w:pos="720"/>
        </w:tabs>
        <w:autoSpaceDE w:val="false"/>
        <w:spacing w:lineRule="atLeast" w:line="240"/>
        <w:jc w:val="both"/>
        <w:rPr>
          <w:color w:val="000000"/>
          <w:sz w:val="20"/>
          <w:szCs w:val="20"/>
        </w:rPr>
      </w:pPr>
      <w:r>
        <w:rPr>
          <w:color w:val="000000"/>
          <w:sz w:val="20"/>
          <w:szCs w:val="20"/>
        </w:rPr>
        <w:t>FERC should add to its investigations an investigation into what caused the price spikes in the first week of December.</w:t>
      </w:r>
    </w:p>
    <w:p>
      <w:pPr>
        <w:pStyle w:val="Normal"/>
        <w:keepLines/>
        <w:numPr>
          <w:ilvl w:val="0"/>
          <w:numId w:val="7"/>
        </w:numPr>
        <w:tabs>
          <w:tab w:val="clear" w:pos="720"/>
        </w:tabs>
        <w:autoSpaceDE w:val="false"/>
        <w:spacing w:lineRule="atLeast" w:line="240"/>
        <w:jc w:val="both"/>
        <w:rPr/>
      </w:pPr>
      <w:r>
        <w:rPr>
          <w:color w:val="000000"/>
          <w:sz w:val="20"/>
          <w:szCs w:val="20"/>
        </w:rPr>
        <w:t>Governor’s should work with the Bush transition team to make sure that someone from the new administration is focused on the issue.</w:t>
      </w:r>
    </w:p>
    <w:p>
      <w:pPr>
        <w:pStyle w:val="Normal"/>
        <w:numPr>
          <w:ilvl w:val="0"/>
          <w:numId w:val="5"/>
        </w:numPr>
        <w:tabs>
          <w:tab w:val="clear" w:pos="720"/>
        </w:tabs>
        <w:jc w:val="both"/>
        <w:rPr>
          <w:sz w:val="20"/>
        </w:rPr>
      </w:pPr>
      <w:r>
        <w:rPr>
          <w:sz w:val="20"/>
        </w:rPr>
        <w:t>Over the past several weeks, the Governor and the utilities have been engaged in closed-door negotiations over the utilities’ cash flow problem.</w:t>
      </w:r>
    </w:p>
    <w:p>
      <w:pPr>
        <w:pStyle w:val="Normal"/>
        <w:numPr>
          <w:ilvl w:val="0"/>
          <w:numId w:val="5"/>
        </w:numPr>
        <w:tabs>
          <w:tab w:val="clear" w:pos="720"/>
        </w:tabs>
        <w:jc w:val="both"/>
        <w:rPr>
          <w:sz w:val="20"/>
        </w:rPr>
      </w:pPr>
      <w:r>
        <w:rPr>
          <w:sz w:val="20"/>
        </w:rPr>
        <w:t>Consumer groups, activists and the press have been very critical of the “closed-door” nature of the talks.</w:t>
      </w:r>
    </w:p>
    <w:p>
      <w:pPr>
        <w:pStyle w:val="Normal"/>
        <w:numPr>
          <w:ilvl w:val="0"/>
          <w:numId w:val="5"/>
        </w:numPr>
        <w:tabs>
          <w:tab w:val="clear" w:pos="720"/>
        </w:tabs>
        <w:jc w:val="both"/>
        <w:rPr>
          <w:sz w:val="20"/>
        </w:rPr>
      </w:pPr>
      <w:r>
        <w:rPr>
          <w:sz w:val="20"/>
        </w:rPr>
        <w:t>The Governor wants to provide the utilities with the minimum rate relief necessary to keep the utilities solvent; the utilities want to be made whole for past undercollections and also want assurance that they’ll be made whole for all future procurement costs.</w:t>
      </w:r>
    </w:p>
    <w:p>
      <w:pPr>
        <w:pStyle w:val="Normal"/>
        <w:numPr>
          <w:ilvl w:val="0"/>
          <w:numId w:val="5"/>
        </w:numPr>
        <w:tabs>
          <w:tab w:val="clear" w:pos="720"/>
        </w:tabs>
        <w:jc w:val="both"/>
        <w:rPr>
          <w:sz w:val="20"/>
        </w:rPr>
      </w:pPr>
      <w:r>
        <w:rPr>
          <w:sz w:val="20"/>
        </w:rPr>
        <w:t>This gap between the Governor’s position and the utilities’ position caused the talks to break down, but negotiations continue.</w:t>
      </w:r>
    </w:p>
    <w:p>
      <w:pPr>
        <w:pStyle w:val="Normal"/>
        <w:numPr>
          <w:ilvl w:val="0"/>
          <w:numId w:val="5"/>
        </w:numPr>
        <w:tabs>
          <w:tab w:val="clear" w:pos="720"/>
        </w:tabs>
        <w:jc w:val="both"/>
        <w:rPr>
          <w:sz w:val="20"/>
        </w:rPr>
      </w:pPr>
      <w:r>
        <w:rPr>
          <w:sz w:val="20"/>
        </w:rPr>
        <w:t>For their part, Californians have shown little sympathy for the utilities’ plight.</w:t>
      </w:r>
    </w:p>
    <w:p>
      <w:pPr>
        <w:pStyle w:val="Normal"/>
        <w:numPr>
          <w:ilvl w:val="0"/>
          <w:numId w:val="5"/>
        </w:numPr>
        <w:tabs>
          <w:tab w:val="clear" w:pos="720"/>
        </w:tabs>
        <w:jc w:val="both"/>
        <w:rPr>
          <w:sz w:val="20"/>
        </w:rPr>
      </w:pPr>
      <w:r>
        <w:rPr>
          <w:sz w:val="20"/>
        </w:rPr>
        <w:t>Activists and consumer advocates on the Left are characterizing any price increases as a “utility bailout” and have threatened a ballot initiative to roll back deregulation if the Governor “caves in” to the utilities.</w:t>
      </w:r>
    </w:p>
    <w:p>
      <w:pPr>
        <w:pStyle w:val="Normal"/>
        <w:numPr>
          <w:ilvl w:val="0"/>
          <w:numId w:val="5"/>
        </w:numPr>
        <w:tabs>
          <w:tab w:val="clear" w:pos="720"/>
        </w:tabs>
        <w:jc w:val="both"/>
        <w:rPr>
          <w:sz w:val="20"/>
        </w:rPr>
      </w:pPr>
      <w:r>
        <w:rPr>
          <w:sz w:val="20"/>
        </w:rPr>
        <w:t xml:space="preserve">Davis also faces a left-of-center state legislature that intends to sponsor a flurry of bills when it returns for a special session to address the issue in January.  </w:t>
      </w:r>
    </w:p>
    <w:p>
      <w:pPr>
        <w:pStyle w:val="Normal"/>
        <w:numPr>
          <w:ilvl w:val="0"/>
          <w:numId w:val="5"/>
        </w:numPr>
        <w:tabs>
          <w:tab w:val="clear" w:pos="720"/>
        </w:tabs>
        <w:jc w:val="both"/>
        <w:rPr>
          <w:sz w:val="20"/>
        </w:rPr>
      </w:pPr>
      <w:r>
        <w:rPr>
          <w:sz w:val="20"/>
        </w:rPr>
        <w:t>Rather than focus on correcting the flaws in California’s utility-sponsored restructuring law, the Governor has focused his time and energy on 1) blaming FERC for not imposing a $100/MWH hard cap on the entire Western electricity market and 2) demonizing generators and marketers, including Enron, as “gougers,” “marauders” and “pirates.”  He has asked California’s Attorney General to investigate the run in both electricity and gas prices.</w:t>
      </w:r>
    </w:p>
    <w:p>
      <w:pPr>
        <w:pStyle w:val="Normal"/>
        <w:numPr>
          <w:ilvl w:val="0"/>
          <w:numId w:val="5"/>
        </w:numPr>
        <w:tabs>
          <w:tab w:val="clear" w:pos="720"/>
        </w:tabs>
        <w:jc w:val="both"/>
        <w:rPr>
          <w:sz w:val="20"/>
        </w:rPr>
      </w:pPr>
      <w:r>
        <w:rPr>
          <w:sz w:val="20"/>
        </w:rPr>
        <w:t>With capital markets threatening to cut off utility credit, the California PUC announced on December 21</w:t>
      </w:r>
      <w:r>
        <w:rPr>
          <w:sz w:val="20"/>
          <w:vertAlign w:val="superscript"/>
        </w:rPr>
        <w:t>st</w:t>
      </w:r>
      <w:r>
        <w:rPr>
          <w:sz w:val="20"/>
        </w:rPr>
        <w:t xml:space="preserve"> that it intends to hold emergency hearings on December 27</w:t>
      </w:r>
      <w:r>
        <w:rPr>
          <w:sz w:val="20"/>
          <w:vertAlign w:val="superscript"/>
        </w:rPr>
        <w:t>th</w:t>
      </w:r>
      <w:r>
        <w:rPr>
          <w:sz w:val="20"/>
        </w:rPr>
        <w:t xml:space="preserve"> and 28</w:t>
      </w:r>
      <w:r>
        <w:rPr>
          <w:sz w:val="20"/>
          <w:vertAlign w:val="superscript"/>
        </w:rPr>
        <w:t>th</w:t>
      </w:r>
      <w:r>
        <w:rPr>
          <w:sz w:val="20"/>
        </w:rPr>
        <w:t xml:space="preserve"> and use the information culled from the hearings to justify retail rate increases as early as January 4</w:t>
      </w:r>
      <w:r>
        <w:rPr>
          <w:sz w:val="20"/>
          <w:vertAlign w:val="superscript"/>
        </w:rPr>
        <w:t>th</w:t>
      </w:r>
      <w:r>
        <w:rPr>
          <w:sz w:val="20"/>
        </w:rPr>
        <w:t>.</w:t>
      </w:r>
    </w:p>
    <w:p>
      <w:pPr>
        <w:pStyle w:val="Normal"/>
        <w:numPr>
          <w:ilvl w:val="0"/>
          <w:numId w:val="5"/>
        </w:numPr>
        <w:tabs>
          <w:tab w:val="clear" w:pos="720"/>
        </w:tabs>
        <w:jc w:val="both"/>
        <w:rPr>
          <w:sz w:val="20"/>
        </w:rPr>
      </w:pPr>
      <w:r>
        <w:rPr>
          <w:sz w:val="20"/>
        </w:rPr>
        <w:t>The Commission’s call for hearings were effectively designed to 1) insulate the Commission from law suits claiming due process violations and 2) buy the Governor more time to hammer out a deal with the utilities.</w:t>
      </w:r>
    </w:p>
    <w:p>
      <w:pPr>
        <w:pStyle w:val="Normal"/>
        <w:numPr>
          <w:ilvl w:val="0"/>
          <w:numId w:val="5"/>
        </w:numPr>
        <w:tabs>
          <w:tab w:val="clear" w:pos="720"/>
        </w:tabs>
        <w:jc w:val="both"/>
        <w:rPr>
          <w:sz w:val="20"/>
        </w:rPr>
      </w:pPr>
      <w:r>
        <w:rPr>
          <w:sz w:val="20"/>
        </w:rPr>
        <w:t>In addition, the term of one of the three remaining Republican PUC Commissioner’s ends on December 31</w:t>
      </w:r>
      <w:r>
        <w:rPr>
          <w:sz w:val="20"/>
          <w:vertAlign w:val="superscript"/>
        </w:rPr>
        <w:t>st</w:t>
      </w:r>
      <w:r>
        <w:rPr>
          <w:sz w:val="20"/>
        </w:rPr>
        <w:t>, which means Davis could make an immediate appointment and have a 3-Democrat majority for the PUC vote on January 4</w:t>
      </w:r>
      <w:r>
        <w:rPr>
          <w:sz w:val="20"/>
          <w:vertAlign w:val="superscript"/>
        </w:rPr>
        <w:t>th</w:t>
      </w:r>
      <w:r>
        <w:rPr>
          <w:sz w:val="20"/>
        </w:rPr>
        <w:t>.</w:t>
      </w:r>
    </w:p>
    <w:p>
      <w:pPr>
        <w:pStyle w:val="Normal"/>
        <w:numPr>
          <w:ilvl w:val="0"/>
          <w:numId w:val="5"/>
        </w:numPr>
        <w:tabs>
          <w:tab w:val="clear" w:pos="720"/>
        </w:tabs>
        <w:jc w:val="both"/>
        <w:rPr>
          <w:sz w:val="20"/>
        </w:rPr>
      </w:pPr>
      <w:r>
        <w:rPr>
          <w:sz w:val="20"/>
        </w:rPr>
        <w:t>It remains unclear whether the PUC’s pronouncements will be enough to keep ratings agency from downgrading the utilities.  For example, while Edison’s stock rose by about $1.25 to $16.25 on Friday, the stock is off its 52-week high of $30 and its P/E ratio is 7.7.</w:t>
      </w:r>
    </w:p>
    <w:p>
      <w:pPr>
        <w:pStyle w:val="Normal"/>
        <w:jc w:val="both"/>
        <w:rPr>
          <w:sz w:val="20"/>
        </w:rPr>
      </w:pPr>
      <w:r>
        <w:rPr>
          <w:sz w:val="20"/>
        </w:rPr>
      </w:r>
    </w:p>
    <w:p>
      <w:pPr>
        <w:pStyle w:val="Heading1"/>
        <w:ind w:hanging="0" w:start="0"/>
        <w:jc w:val="both"/>
        <w:rPr>
          <w:b/>
          <w:bCs/>
          <w:i w:val="false"/>
          <w:i w:val="false"/>
          <w:iCs w:val="false"/>
        </w:rPr>
      </w:pPr>
      <w:r>
        <w:rPr>
          <w:b/>
          <w:bCs/>
        </w:rPr>
        <w:t>Upcoming Actions</w:t>
      </w:r>
    </w:p>
    <w:p>
      <w:pPr>
        <w:pStyle w:val="Normal"/>
        <w:numPr>
          <w:ilvl w:val="0"/>
          <w:numId w:val="10"/>
        </w:numPr>
        <w:tabs>
          <w:tab w:val="clear" w:pos="720"/>
        </w:tabs>
        <w:jc w:val="both"/>
        <w:rPr>
          <w:sz w:val="20"/>
        </w:rPr>
      </w:pPr>
      <w:r>
        <w:rPr>
          <w:sz w:val="20"/>
        </w:rPr>
        <w:t>The California PUC will hold emergency hearings on December 27</w:t>
      </w:r>
      <w:r>
        <w:rPr>
          <w:sz w:val="20"/>
          <w:vertAlign w:val="superscript"/>
        </w:rPr>
        <w:t>th</w:t>
      </w:r>
      <w:r>
        <w:rPr>
          <w:sz w:val="20"/>
        </w:rPr>
        <w:t xml:space="preserve"> and 28</w:t>
      </w:r>
      <w:r>
        <w:rPr>
          <w:sz w:val="20"/>
          <w:vertAlign w:val="superscript"/>
        </w:rPr>
        <w:t>th</w:t>
      </w:r>
      <w:r>
        <w:rPr>
          <w:sz w:val="20"/>
        </w:rPr>
        <w:t xml:space="preserve"> to determine how much of a retail rate increase is required to maintain utility solvency.</w:t>
      </w:r>
    </w:p>
    <w:p>
      <w:pPr>
        <w:pStyle w:val="Normal"/>
        <w:numPr>
          <w:ilvl w:val="0"/>
          <w:numId w:val="10"/>
        </w:numPr>
        <w:tabs>
          <w:tab w:val="clear" w:pos="720"/>
        </w:tabs>
        <w:jc w:val="both"/>
        <w:rPr>
          <w:sz w:val="20"/>
        </w:rPr>
      </w:pPr>
      <w:r>
        <w:rPr>
          <w:sz w:val="20"/>
        </w:rPr>
        <w:t>As part of the Commission’s examination, it has ordered Commission staff to audit the utilities’ books to verify the utilities’ insolvency claims.</w:t>
      </w:r>
    </w:p>
    <w:p>
      <w:pPr>
        <w:pStyle w:val="Normal"/>
        <w:numPr>
          <w:ilvl w:val="0"/>
          <w:numId w:val="10"/>
        </w:numPr>
        <w:tabs>
          <w:tab w:val="clear" w:pos="720"/>
        </w:tabs>
        <w:jc w:val="both"/>
        <w:rPr>
          <w:sz w:val="20"/>
        </w:rPr>
      </w:pPr>
      <w:r>
        <w:rPr>
          <w:sz w:val="20"/>
        </w:rPr>
        <w:t>Actions the Commission might take could have a significant impact on positions Enron has taken in California and we will therefore actively participate in the hearings.</w:t>
      </w:r>
    </w:p>
    <w:p>
      <w:pPr>
        <w:pStyle w:val="Normal"/>
        <w:numPr>
          <w:ilvl w:val="0"/>
          <w:numId w:val="10"/>
        </w:numPr>
        <w:tabs>
          <w:tab w:val="clear" w:pos="720"/>
        </w:tabs>
        <w:jc w:val="both"/>
        <w:rPr>
          <w:sz w:val="20"/>
        </w:rPr>
      </w:pPr>
      <w:r>
        <w:rPr>
          <w:sz w:val="20"/>
        </w:rPr>
        <w:t>To address the utilities’ immediate cash flow and credit problems, Enron will recommend that:</w:t>
      </w:r>
    </w:p>
    <w:p>
      <w:pPr>
        <w:pStyle w:val="Normal"/>
        <w:numPr>
          <w:ilvl w:val="0"/>
          <w:numId w:val="11"/>
        </w:numPr>
        <w:tabs>
          <w:tab w:val="clear" w:pos="720"/>
        </w:tabs>
        <w:ind w:hanging="288" w:start="540" w:end="0"/>
        <w:jc w:val="both"/>
        <w:rPr>
          <w:sz w:val="20"/>
        </w:rPr>
      </w:pPr>
      <w:r>
        <w:rPr>
          <w:sz w:val="20"/>
        </w:rPr>
        <w:t>The California PUC raise rates for small consumers by 10% and 15% for large consumers. [[Steve:  I’ve left for you recommendations regarding demand reductions and supply increases per our conversation yesterday.]]</w:t>
      </w:r>
    </w:p>
    <w:p>
      <w:pPr>
        <w:pStyle w:val="Normal"/>
        <w:ind w:start="72" w:end="0"/>
        <w:jc w:val="both"/>
        <w:rPr>
          <w:color w:val="000000"/>
          <w:sz w:val="20"/>
          <w:szCs w:val="10"/>
        </w:rPr>
      </w:pPr>
      <w:r>
        <w:rPr>
          <w:color w:val="000000"/>
          <w:sz w:val="20"/>
          <w:szCs w:val="10"/>
        </w:rPr>
      </w:r>
      <w:r>
        <w:br w:type="page"/>
      </w:r>
    </w:p>
    <w:p>
      <w:pPr>
        <w:pStyle w:val="Normal"/>
        <w:jc w:val="center"/>
        <w:rPr>
          <w:b/>
          <w:bCs/>
          <w:color w:val="000000"/>
          <w:sz w:val="20"/>
          <w:szCs w:val="10"/>
        </w:rPr>
      </w:pPr>
      <w:r>
        <w:rPr>
          <w:b/>
          <w:bCs/>
          <w:color w:val="000000"/>
          <w:sz w:val="20"/>
          <w:szCs w:val="10"/>
        </w:rPr>
        <w:t>Enron Proposal for California PUC</w:t>
      </w:r>
    </w:p>
    <w:p>
      <w:pPr>
        <w:pStyle w:val="Normal"/>
        <w:jc w:val="center"/>
        <w:rPr>
          <w:b/>
          <w:bCs/>
          <w:color w:val="000000"/>
          <w:sz w:val="20"/>
          <w:szCs w:val="10"/>
        </w:rPr>
      </w:pPr>
      <w:r>
        <w:rPr>
          <w:b/>
          <w:bCs/>
          <w:color w:val="000000"/>
          <w:sz w:val="20"/>
          <w:szCs w:val="10"/>
        </w:rPr>
        <w:t>Emergency Hearings on December 27/28</w:t>
      </w:r>
    </w:p>
    <w:p>
      <w:pPr>
        <w:pStyle w:val="Normal"/>
        <w:jc w:val="center"/>
        <w:rPr>
          <w:b/>
          <w:bCs/>
          <w:color w:val="000000"/>
          <w:sz w:val="20"/>
          <w:szCs w:val="14"/>
        </w:rPr>
      </w:pPr>
      <w:r>
        <w:rPr>
          <w:b/>
          <w:bCs/>
          <w:color w:val="000000"/>
          <w:sz w:val="20"/>
          <w:szCs w:val="14"/>
        </w:rPr>
      </w:r>
    </w:p>
    <w:p>
      <w:pPr>
        <w:pStyle w:val="BodyText2"/>
        <w:rPr/>
      </w:pPr>
      <w:r>
        <w:rPr/>
        <w:t>[[Note:  Legal is working on additional legal arguments for further discussion on Tuesday.  On Tuesday, there will be a discussion to determine how extensive our policy portion of our presentation should be at the hearing.]]</w:t>
      </w:r>
    </w:p>
    <w:p>
      <w:pPr>
        <w:pStyle w:val="Normal"/>
        <w:jc w:val="center"/>
        <w:rPr>
          <w:color w:val="000000"/>
          <w:sz w:val="20"/>
          <w:szCs w:val="14"/>
        </w:rPr>
      </w:pPr>
      <w:r>
        <w:rPr>
          <w:color w:val="000000"/>
          <w:sz w:val="20"/>
          <w:szCs w:val="14"/>
        </w:rPr>
      </w:r>
    </w:p>
    <w:p>
      <w:pPr>
        <w:pStyle w:val="Heading2"/>
        <w:ind w:hanging="0" w:start="0"/>
        <w:jc w:val="start"/>
        <w:rPr/>
      </w:pPr>
      <w:r>
        <w:rPr/>
        <w:t>Legal</w:t>
      </w:r>
    </w:p>
    <w:p>
      <w:pPr>
        <w:pStyle w:val="Normal"/>
        <w:numPr>
          <w:ilvl w:val="0"/>
          <w:numId w:val="9"/>
        </w:numPr>
        <w:tabs>
          <w:tab w:val="clear" w:pos="720"/>
        </w:tabs>
        <w:rPr>
          <w:color w:val="000000"/>
          <w:sz w:val="20"/>
          <w:szCs w:val="14"/>
        </w:rPr>
      </w:pPr>
      <w:r>
        <w:rPr>
          <w:color w:val="000000"/>
          <w:sz w:val="20"/>
          <w:szCs w:val="14"/>
        </w:rPr>
        <w:t>AB 1890 only allows the Commission to end the rate freeze once it has valued the utilities retained generating assets</w:t>
      </w:r>
    </w:p>
    <w:p>
      <w:pPr>
        <w:pStyle w:val="Normal"/>
        <w:numPr>
          <w:ilvl w:val="0"/>
          <w:numId w:val="9"/>
        </w:numPr>
        <w:tabs>
          <w:tab w:val="clear" w:pos="720"/>
        </w:tabs>
        <w:rPr>
          <w:color w:val="000000"/>
          <w:sz w:val="20"/>
          <w:szCs w:val="14"/>
        </w:rPr>
      </w:pPr>
      <w:r>
        <w:rPr>
          <w:color w:val="000000"/>
          <w:sz w:val="20"/>
          <w:szCs w:val="14"/>
        </w:rPr>
        <w:t xml:space="preserve">AB 1890 therefore does not permit the utilities’ proposal to end the rate freeze retroactively </w:t>
      </w:r>
    </w:p>
    <w:p>
      <w:pPr>
        <w:pStyle w:val="Normal"/>
        <w:rPr>
          <w:color w:val="000000"/>
          <w:sz w:val="20"/>
          <w:szCs w:val="14"/>
        </w:rPr>
      </w:pPr>
      <w:r>
        <w:rPr>
          <w:color w:val="000000"/>
          <w:sz w:val="20"/>
          <w:szCs w:val="14"/>
        </w:rPr>
      </w:r>
    </w:p>
    <w:p>
      <w:pPr>
        <w:pStyle w:val="Heading2"/>
        <w:ind w:hanging="0" w:start="0"/>
        <w:jc w:val="start"/>
        <w:rPr/>
      </w:pPr>
      <w:r>
        <w:rPr/>
        <w:t>Policy</w:t>
      </w:r>
    </w:p>
    <w:p>
      <w:pPr>
        <w:pStyle w:val="Normal"/>
        <w:numPr>
          <w:ilvl w:val="0"/>
          <w:numId w:val="9"/>
        </w:numPr>
        <w:tabs>
          <w:tab w:val="clear" w:pos="720"/>
        </w:tabs>
        <w:rPr>
          <w:color w:val="000000"/>
          <w:sz w:val="20"/>
          <w:szCs w:val="14"/>
        </w:rPr>
      </w:pPr>
      <w:r>
        <w:rPr>
          <w:color w:val="000000"/>
          <w:sz w:val="20"/>
          <w:szCs w:val="14"/>
        </w:rPr>
        <w:t>Determine “market” value of IOUs retained generation (ends rate freeze)</w:t>
      </w:r>
    </w:p>
    <w:p>
      <w:pPr>
        <w:pStyle w:val="Normal"/>
        <w:numPr>
          <w:ilvl w:val="0"/>
          <w:numId w:val="9"/>
        </w:numPr>
        <w:tabs>
          <w:tab w:val="clear" w:pos="720"/>
        </w:tabs>
        <w:rPr>
          <w:color w:val="000000"/>
          <w:sz w:val="20"/>
          <w:szCs w:val="14"/>
        </w:rPr>
      </w:pPr>
      <w:r>
        <w:rPr>
          <w:color w:val="000000"/>
          <w:sz w:val="20"/>
          <w:szCs w:val="14"/>
        </w:rPr>
        <w:t>All customers, including DA customers must receive benefit of net above-book value of IOU generation portfolio, consistent with AB 1890:</w:t>
      </w:r>
    </w:p>
    <w:p>
      <w:pPr>
        <w:pStyle w:val="Normal"/>
        <w:numPr>
          <w:ilvl w:val="0"/>
          <w:numId w:val="3"/>
        </w:numPr>
        <w:tabs>
          <w:tab w:val="clear" w:pos="720"/>
        </w:tabs>
        <w:ind w:hanging="288" w:start="540" w:end="0"/>
        <w:rPr>
          <w:color w:val="000000"/>
          <w:sz w:val="20"/>
          <w:szCs w:val="14"/>
        </w:rPr>
      </w:pPr>
      <w:r>
        <w:rPr>
          <w:color w:val="000000"/>
          <w:sz w:val="20"/>
          <w:szCs w:val="14"/>
        </w:rPr>
        <w:t>If the Commission values the retained assets at market: 1) give a credit to all customers equal to above-book value of IOU generating assets, 2) utility retains generation and sells to customers at marked-up rate</w:t>
      </w:r>
    </w:p>
    <w:p>
      <w:pPr>
        <w:pStyle w:val="Normal"/>
        <w:numPr>
          <w:ilvl w:val="0"/>
          <w:numId w:val="8"/>
        </w:numPr>
        <w:tabs>
          <w:tab w:val="clear" w:pos="720"/>
        </w:tabs>
        <w:ind w:hanging="288" w:start="540" w:end="0"/>
        <w:rPr>
          <w:color w:val="000000"/>
          <w:sz w:val="20"/>
          <w:szCs w:val="14"/>
        </w:rPr>
      </w:pPr>
      <w:r>
        <w:rPr>
          <w:color w:val="000000"/>
          <w:sz w:val="20"/>
          <w:szCs w:val="14"/>
        </w:rPr>
        <w:t>Give all customers, including DA customers, access to retained generating assets if Commission 1) does not value assets at market and 2) requires IOUs to sell power to bundled customers at cost</w:t>
      </w:r>
    </w:p>
    <w:p>
      <w:pPr>
        <w:pStyle w:val="Normal"/>
        <w:numPr>
          <w:ilvl w:val="0"/>
          <w:numId w:val="9"/>
        </w:numPr>
        <w:tabs>
          <w:tab w:val="clear" w:pos="720"/>
        </w:tabs>
        <w:rPr>
          <w:color w:val="000000"/>
          <w:sz w:val="20"/>
          <w:szCs w:val="14"/>
        </w:rPr>
      </w:pPr>
      <w:r>
        <w:rPr>
          <w:color w:val="000000"/>
          <w:sz w:val="20"/>
          <w:szCs w:val="14"/>
        </w:rPr>
        <w:t>Net IOU generation revenues (i.e., power from IOU plants sold to PX at market prices) against under-collection</w:t>
      </w:r>
    </w:p>
    <w:p>
      <w:pPr>
        <w:pStyle w:val="Normal"/>
        <w:numPr>
          <w:ilvl w:val="0"/>
          <w:numId w:val="9"/>
        </w:numPr>
        <w:tabs>
          <w:tab w:val="clear" w:pos="720"/>
        </w:tabs>
        <w:rPr>
          <w:color w:val="000000"/>
          <w:sz w:val="20"/>
          <w:szCs w:val="14"/>
        </w:rPr>
      </w:pPr>
      <w:r>
        <w:rPr>
          <w:color w:val="000000"/>
          <w:sz w:val="20"/>
          <w:szCs w:val="14"/>
        </w:rPr>
        <w:t>Utilities buy forward contracts and use existing generation for next 3-5 years (2001-2005 inclusive); fill remaining demand with spot purchases and demand reductions</w:t>
      </w:r>
    </w:p>
    <w:p>
      <w:pPr>
        <w:pStyle w:val="Normal"/>
        <w:numPr>
          <w:ilvl w:val="0"/>
          <w:numId w:val="9"/>
        </w:numPr>
        <w:tabs>
          <w:tab w:val="clear" w:pos="720"/>
        </w:tabs>
        <w:rPr>
          <w:color w:val="000000"/>
          <w:sz w:val="20"/>
          <w:szCs w:val="10"/>
        </w:rPr>
      </w:pPr>
      <w:r>
        <w:rPr>
          <w:color w:val="000000"/>
          <w:sz w:val="20"/>
          <w:szCs w:val="10"/>
        </w:rPr>
        <w:t xml:space="preserve">Convene a special hearing to address the need to decrease demand and increase supply: </w:t>
      </w:r>
    </w:p>
    <w:p>
      <w:pPr>
        <w:pStyle w:val="Normal"/>
        <w:numPr>
          <w:ilvl w:val="0"/>
          <w:numId w:val="6"/>
        </w:numPr>
        <w:tabs>
          <w:tab w:val="clear" w:pos="720"/>
        </w:tabs>
        <w:ind w:hanging="288" w:start="540" w:end="0"/>
        <w:rPr>
          <w:color w:val="000000"/>
          <w:sz w:val="20"/>
          <w:szCs w:val="10"/>
        </w:rPr>
      </w:pPr>
      <w:r>
        <w:rPr>
          <w:color w:val="000000"/>
          <w:sz w:val="20"/>
          <w:szCs w:val="10"/>
        </w:rPr>
        <w:t>Establish a special tariff to permit service providers to invest in remote metering equipment and negotiate load curtailment deals with customers using that metering equipment.</w:t>
      </w:r>
    </w:p>
    <w:p>
      <w:pPr>
        <w:pStyle w:val="Normal"/>
        <w:numPr>
          <w:ilvl w:val="0"/>
          <w:numId w:val="6"/>
        </w:numPr>
        <w:tabs>
          <w:tab w:val="clear" w:pos="720"/>
        </w:tabs>
        <w:ind w:hanging="288" w:start="540" w:end="0"/>
        <w:rPr>
          <w:color w:val="000000"/>
          <w:sz w:val="20"/>
          <w:szCs w:val="10"/>
        </w:rPr>
      </w:pPr>
      <w:r>
        <w:rPr>
          <w:color w:val="000000"/>
          <w:sz w:val="20"/>
          <w:szCs w:val="10"/>
        </w:rPr>
        <w:t>Relax standby rates to allow increased development of distributed generation.</w:t>
      </w:r>
    </w:p>
    <w:p>
      <w:pPr>
        <w:pStyle w:val="Normal"/>
        <w:numPr>
          <w:ilvl w:val="0"/>
          <w:numId w:val="9"/>
        </w:numPr>
        <w:tabs>
          <w:tab w:val="clear" w:pos="720"/>
        </w:tabs>
        <w:rPr>
          <w:color w:val="000000"/>
          <w:sz w:val="20"/>
          <w:szCs w:val="14"/>
        </w:rPr>
      </w:pPr>
      <w:r>
        <w:rPr>
          <w:color w:val="000000"/>
          <w:sz w:val="20"/>
          <w:szCs w:val="14"/>
        </w:rPr>
        <w:t>10% Increase for small customers; 15% increase large customers for 3-5 years</w:t>
      </w:r>
    </w:p>
    <w:p>
      <w:pPr>
        <w:pStyle w:val="Normal"/>
        <w:numPr>
          <w:ilvl w:val="0"/>
          <w:numId w:val="9"/>
        </w:numPr>
        <w:tabs>
          <w:tab w:val="clear" w:pos="720"/>
        </w:tabs>
        <w:rPr>
          <w:color w:val="000000"/>
          <w:sz w:val="20"/>
          <w:szCs w:val="14"/>
        </w:rPr>
      </w:pPr>
      <w:r>
        <w:rPr>
          <w:color w:val="000000"/>
          <w:sz w:val="20"/>
          <w:szCs w:val="14"/>
        </w:rPr>
        <w:t>Salvage retail market by phasing out generation credit—generation credit reflect utility average cost of power or market benchmark?; Commission holds hearings to determine phase out schedule (note: when SDG&amp;E rolled off initially, the Commission nonetheless permitted SDG&amp;E to maintain a rate ceiling during the summer months and kept the “PX credit” in place during that same time period.</w:t>
      </w:r>
    </w:p>
    <w:p>
      <w:pPr>
        <w:pStyle w:val="Normal"/>
        <w:numPr>
          <w:ilvl w:val="0"/>
          <w:numId w:val="4"/>
        </w:numPr>
        <w:tabs>
          <w:tab w:val="clear" w:pos="720"/>
        </w:tabs>
        <w:ind w:hanging="288" w:start="540" w:end="0"/>
        <w:rPr>
          <w:color w:val="000000"/>
          <w:sz w:val="20"/>
          <w:szCs w:val="14"/>
        </w:rPr>
      </w:pPr>
      <w:r>
        <w:rPr>
          <w:color w:val="000000"/>
          <w:sz w:val="20"/>
          <w:szCs w:val="14"/>
        </w:rPr>
        <w:t>Phase out will keep customers from returning to IOU and exacerbating undercollection problem</w:t>
      </w:r>
    </w:p>
    <w:p>
      <w:pPr>
        <w:pStyle w:val="Normal"/>
        <w:numPr>
          <w:ilvl w:val="0"/>
          <w:numId w:val="9"/>
        </w:numPr>
        <w:tabs>
          <w:tab w:val="clear" w:pos="720"/>
        </w:tabs>
        <w:rPr>
          <w:color w:val="000000"/>
          <w:sz w:val="20"/>
          <w:szCs w:val="14"/>
        </w:rPr>
      </w:pPr>
      <w:r>
        <w:rPr>
          <w:color w:val="000000"/>
          <w:sz w:val="20"/>
          <w:szCs w:val="14"/>
        </w:rPr>
        <w:t>Utilities given assurance of recovering some percentage of under-collections going forward</w:t>
      </w:r>
    </w:p>
    <w:p>
      <w:pPr>
        <w:pStyle w:val="Normal"/>
        <w:numPr>
          <w:ilvl w:val="0"/>
          <w:numId w:val="9"/>
        </w:numPr>
        <w:tabs>
          <w:tab w:val="clear" w:pos="720"/>
        </w:tabs>
        <w:rPr>
          <w:color w:val="000000"/>
          <w:sz w:val="20"/>
          <w:szCs w:val="14"/>
        </w:rPr>
      </w:pPr>
      <w:r>
        <w:rPr>
          <w:color w:val="000000"/>
          <w:sz w:val="20"/>
          <w:szCs w:val="14"/>
        </w:rPr>
        <w:t>With these significant concessions to the IOUs, fairness dictates that customers be permitted to return to utility without penalty or delay.</w:t>
      </w:r>
    </w:p>
    <w:p>
      <w:pPr>
        <w:pStyle w:val="Normal"/>
        <w:jc w:val="both"/>
        <w:rPr>
          <w:rFonts w:ascii="Arial Unicode MS" w:hAnsi="Arial Unicode MS" w:cs="Arial Unicode MS"/>
          <w:vanish/>
          <w:color w:val="000000"/>
          <w:sz w:val="20"/>
          <w:szCs w:val="14"/>
        </w:rPr>
      </w:pPr>
      <w:r>
        <w:rPr>
          <w:rFonts w:cs="Arial Unicode MS" w:ascii="Arial Unicode MS" w:hAnsi="Arial Unicode MS"/>
          <w:vanish/>
          <w:color w:val="000000"/>
          <w:sz w:val="20"/>
          <w:szCs w:val="14"/>
        </w:rPr>
      </w:r>
    </w:p>
    <w:p>
      <w:pPr>
        <w:pStyle w:val="Normal"/>
        <w:rPr>
          <w:rFonts w:ascii="Arial Unicode MS" w:hAnsi="Arial Unicode MS" w:cs="Arial Unicode MS"/>
          <w:vanish/>
          <w:color w:val="000000"/>
          <w:sz w:val="20"/>
          <w:szCs w:val="10"/>
        </w:rPr>
      </w:pPr>
      <w:r>
        <w:rPr>
          <w:rFonts w:cs="Arial Unicode MS" w:ascii="Arial Unicode MS" w:hAnsi="Arial Unicode MS"/>
          <w:vanish/>
          <w:color w:val="000000"/>
          <w:sz w:val="20"/>
          <w:szCs w:val="10"/>
        </w:rPr>
      </w:r>
    </w:p>
    <w:p>
      <w:pPr>
        <w:pStyle w:val="Normal"/>
        <w:jc w:val="both"/>
        <w:rPr>
          <w:rFonts w:ascii="Arial Unicode MS" w:hAnsi="Arial Unicode MS" w:cs="Arial Unicode MS"/>
          <w:vanish/>
          <w:color w:val="000000"/>
          <w:sz w:val="20"/>
          <w:szCs w:val="10"/>
        </w:rPr>
      </w:pPr>
      <w:r>
        <w:rPr>
          <w:rFonts w:cs="Arial Unicode MS" w:ascii="Arial Unicode MS" w:hAnsi="Arial Unicode MS"/>
          <w:vanish/>
          <w:color w:val="000000"/>
          <w:sz w:val="20"/>
          <w:szCs w:val="10"/>
        </w:rPr>
      </w:r>
    </w:p>
    <w:p>
      <w:pPr>
        <w:pStyle w:val="Normal"/>
        <w:ind w:start="72" w:end="0"/>
        <w:jc w:val="both"/>
        <w:rPr>
          <w:rFonts w:ascii="Arial Unicode MS" w:hAnsi="Arial Unicode MS" w:cs="Arial Unicode MS"/>
          <w:vanish/>
          <w:color w:val="000000"/>
        </w:rPr>
      </w:pPr>
      <w:r>
        <w:rPr>
          <w:rFonts w:cs="Arial Unicode MS" w:ascii="Arial Unicode MS" w:hAnsi="Arial Unicode MS"/>
          <w:vanish/>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360"/>
        </w:tabs>
        <w:ind w:start="288" w:hanging="288"/>
      </w:pPr>
      <w:rPr>
        <w:rFonts w:ascii="Wingdings" w:hAnsi="Wingdings" w:cs="Wingdings" w:hint="default"/>
      </w:rPr>
    </w:lvl>
  </w:abstractNum>
  <w:abstractNum w:abstractNumId="7">
    <w:lvl w:ilvl="0">
      <w:start w:val="1"/>
      <w:numFmt w:val="bullet"/>
      <w:lvlText w:val=""/>
      <w:lvlJc w:val="start"/>
      <w:pPr>
        <w:tabs>
          <w:tab w:val="num" w:pos="648"/>
        </w:tabs>
        <w:ind w:start="576" w:hanging="288"/>
      </w:pPr>
      <w:rPr>
        <w:rFonts w:ascii="Wingdings" w:hAnsi="Wingdings" w:cs="Wingdings" w:hint="default"/>
      </w:rPr>
    </w:lvl>
  </w:abstractNum>
  <w:abstractNum w:abstractNumId="8">
    <w:lvl w:ilvl="0">
      <w:start w:val="1"/>
      <w:numFmt w:val="bullet"/>
      <w:lvlText w:val=""/>
      <w:lvlJc w:val="start"/>
      <w:pPr>
        <w:tabs>
          <w:tab w:val="num" w:pos="360"/>
        </w:tabs>
        <w:ind w:start="28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2000-12-23T17:42:00Z</dcterms:created>
  <dc:creator>jdasovic</dc:creator>
  <dc:description/>
  <dc:language>en-CA</dc:language>
  <cp:lastModifiedBy>jdasovic</cp:lastModifiedBy>
  <dcterms:modified xsi:type="dcterms:W3CDTF">2000-12-23T17:42:00Z</dcterms:modified>
  <cp:revision>2</cp:revision>
  <dc:subject/>
  <dc:title>The Current Situation In California</dc:title>
</cp:coreProperties>
</file>