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Cs w:val="20"/>
        </w:rPr>
      </w:pPr>
      <w:r>
        <w:rPr>
          <w:b/>
          <w:bCs/>
          <w:color w:val="000000"/>
          <w:szCs w:val="20"/>
        </w:rPr>
        <w:t>1.  What effect of global slow down?</w:t>
      </w:r>
    </w:p>
    <w:p>
      <w:pPr>
        <w:pStyle w:val="Normal"/>
        <w:autoSpaceDE w:val="false"/>
        <w:spacing w:lineRule="atLeast" w:line="240"/>
        <w:rPr>
          <w:b/>
          <w:bCs/>
          <w:color w:val="000000"/>
          <w:szCs w:val="20"/>
        </w:rPr>
      </w:pPr>
      <w:r>
        <w:rPr>
          <w:b/>
          <w:bCs/>
          <w:color w:val="000000"/>
          <w:szCs w:val="20"/>
        </w:rPr>
      </w:r>
    </w:p>
    <w:p>
      <w:pPr>
        <w:pStyle w:val="Normal"/>
        <w:autoSpaceDE w:val="false"/>
        <w:spacing w:lineRule="atLeast" w:line="240"/>
        <w:rPr>
          <w:b/>
          <w:bCs/>
          <w:color w:val="000000"/>
          <w:szCs w:val="20"/>
        </w:rPr>
      </w:pPr>
      <w:r>
        <w:rPr>
          <w:b/>
          <w:bCs/>
          <w:color w:val="000000"/>
          <w:szCs w:val="20"/>
        </w:rPr>
        <w:t>2.  How much of new business is tied to customer capital investment?</w:t>
      </w:r>
    </w:p>
    <w:p>
      <w:pPr>
        <w:pStyle w:val="Normal"/>
        <w:autoSpaceDE w:val="false"/>
        <w:spacing w:lineRule="atLeast" w:line="240"/>
        <w:rPr>
          <w:b/>
          <w:bCs/>
          <w:color w:val="000000"/>
          <w:szCs w:val="20"/>
        </w:rPr>
      </w:pPr>
      <w:r>
        <w:rPr>
          <w:b/>
          <w:bCs/>
          <w:color w:val="000000"/>
          <w:szCs w:val="20"/>
        </w:rPr>
      </w:r>
    </w:p>
    <w:p>
      <w:pPr>
        <w:pStyle w:val="Normal"/>
        <w:autoSpaceDE w:val="false"/>
        <w:spacing w:lineRule="atLeast" w:line="240"/>
        <w:rPr>
          <w:b/>
          <w:bCs/>
          <w:color w:val="000000"/>
          <w:szCs w:val="20"/>
        </w:rPr>
      </w:pPr>
      <w:r>
        <w:rPr>
          <w:b/>
          <w:bCs/>
          <w:color w:val="000000"/>
          <w:szCs w:val="20"/>
        </w:rPr>
        <w:t>3.  What effect on business of CA decision to terminate retail access?</w:t>
      </w:r>
    </w:p>
    <w:p>
      <w:pPr>
        <w:pStyle w:val="Normal"/>
        <w:autoSpaceDE w:val="false"/>
        <w:spacing w:lineRule="atLeast" w:line="240"/>
        <w:rPr>
          <w:b/>
          <w:bCs/>
          <w:color w:val="000000"/>
          <w:szCs w:val="20"/>
        </w:rPr>
      </w:pPr>
      <w:r>
        <w:rPr>
          <w:b/>
          <w:bCs/>
          <w:color w:val="000000"/>
          <w:szCs w:val="20"/>
        </w:rPr>
      </w:r>
    </w:p>
    <w:p>
      <w:pPr>
        <w:pStyle w:val="Normal"/>
        <w:autoSpaceDE w:val="false"/>
        <w:rPr/>
      </w:pPr>
      <w:r>
        <w:rPr>
          <w:color w:val="000000"/>
          <w:szCs w:val="20"/>
        </w:rPr>
        <w:t xml:space="preserve">CPUC has suspended new contracts for Direct Access as of September 20, 2001.  Current customers are allowed to continue to be served by their Electric Service Provider (“ESP”).  Enron through its coalitions and in conjunction with other customers filed a Request for Rehearing opposing the decision.  </w:t>
      </w:r>
      <w:r>
        <w:rPr>
          <w:szCs w:val="20"/>
        </w:rPr>
        <w:t xml:space="preserve">In the CPUC’s decision denying the Petitions, the CPUC did however modify its initial decision in several respects, key amongst those is a modification regarding facility adds under existing contracts.  Those comments refer to the ability to continue to submit DASRs for new facilities under contracts signed prior to September 20th that provide for facility adds.  The CPUC agreed and has ordered the utilities to accept switches for facility adds under contract terms executed prior to September 20, 2001.  </w:t>
      </w:r>
    </w:p>
    <w:p>
      <w:pPr>
        <w:pStyle w:val="Normal"/>
        <w:autoSpaceDE w:val="false"/>
        <w:rPr>
          <w:szCs w:val="20"/>
        </w:rPr>
      </w:pPr>
      <w:r>
        <w:rPr>
          <w:szCs w:val="20"/>
        </w:rPr>
      </w:r>
    </w:p>
    <w:p>
      <w:pPr>
        <w:pStyle w:val="Normal"/>
        <w:autoSpaceDE w:val="false"/>
        <w:rPr/>
      </w:pPr>
      <w:r>
        <w:rPr>
          <w:szCs w:val="20"/>
        </w:rPr>
        <w:t>"We reaffirm that for the time being, and unless the Commission states otherwise in a subsequent decision, utilities are required to process DASRs relating to contracts or agreements that were executed on or before September 20th, 2001</w:t>
      </w:r>
      <w:r>
        <w:rPr>
          <w:b/>
          <w:bCs/>
          <w:szCs w:val="20"/>
        </w:rPr>
        <w:t>, including DASRs for service to new facilities or accounts if the underlying contract pursuant to which those DASRs are submitted allowed for the provision of that additional service</w:t>
      </w:r>
      <w:r>
        <w:rPr>
          <w:szCs w:val="20"/>
        </w:rPr>
        <w:t>.  Thus, for example, with respect to the specific ESP contract described by UC/CSU in their rehearing application, the utilities are required to accept, even after September 20, 2001, any DASRs they receive that legitimatley relate to that contract...[W]e want to make it clear that...utilities cannot set a deadline after which they could refuse to process DASRs relating to contracts executed on or before September 20, 2001."  pp 20-21</w:t>
      </w:r>
    </w:p>
    <w:p>
      <w:pPr>
        <w:pStyle w:val="Normal"/>
        <w:autoSpaceDE w:val="false"/>
        <w:spacing w:lineRule="atLeast" w:line="240"/>
        <w:rPr>
          <w:color w:val="000000"/>
          <w:szCs w:val="20"/>
        </w:rPr>
      </w:pPr>
      <w:r>
        <w:rPr>
          <w:color w:val="000000"/>
          <w:szCs w:val="20"/>
        </w:rPr>
      </w:r>
    </w:p>
    <w:p>
      <w:pPr>
        <w:pStyle w:val="Normal"/>
        <w:autoSpaceDE w:val="false"/>
        <w:rPr>
          <w:szCs w:val="20"/>
        </w:rPr>
      </w:pPr>
      <w:r>
        <w:rPr>
          <w:szCs w:val="20"/>
        </w:rPr>
        <w:t>We are likely to file for appellate court review of the CPUC's denial.</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t xml:space="preserve">In addition, the CPUC has initiated a new Investigation that asks for comments on a number of issues related to </w:t>
      </w:r>
      <w:r>
        <w:rPr/>
        <w:t>contracts executed or agreements entered on or before September 20, 2001, including renewals of such contracts or agreements and assignment of certain costs to Direct Access customers.  The CPUC is also asking for copies of contracts entered into from January 1, 2001 until September 20, 2001. Comments are due November 2, 2001 and a CPUC decision is expected sometime in late December or early next year.</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b/>
          <w:bCs/>
          <w:color w:val="000000"/>
          <w:szCs w:val="20"/>
        </w:rPr>
      </w:pPr>
      <w:r>
        <w:rPr>
          <w:b/>
          <w:bCs/>
          <w:color w:val="000000"/>
          <w:szCs w:val="20"/>
        </w:rPr>
        <w:t>4.  What is impact if order made retroactive?</w:t>
      </w:r>
    </w:p>
    <w:p>
      <w:pPr>
        <w:pStyle w:val="Normal"/>
        <w:autoSpaceDE w:val="false"/>
        <w:spacing w:lineRule="atLeast" w:line="240"/>
        <w:rPr>
          <w:b/>
          <w:bCs/>
          <w:color w:val="000000"/>
          <w:szCs w:val="20"/>
        </w:rPr>
      </w:pPr>
      <w:r>
        <w:rPr>
          <w:b/>
          <w:bCs/>
          <w:color w:val="000000"/>
          <w:szCs w:val="20"/>
        </w:rPr>
      </w:r>
    </w:p>
    <w:p>
      <w:pPr>
        <w:pStyle w:val="Normal"/>
        <w:autoSpaceDE w:val="false"/>
        <w:spacing w:lineRule="atLeast" w:line="240"/>
        <w:rPr>
          <w:color w:val="000000"/>
          <w:szCs w:val="20"/>
        </w:rPr>
      </w:pPr>
      <w:r>
        <w:rPr>
          <w:color w:val="000000"/>
          <w:szCs w:val="20"/>
        </w:rPr>
        <w:t>Questions of retroactivity will be addressed in the new Investigation discussed above.  Enron continues to believe that the CPUC has no authority to suspend retroactively and would be interferring inappropriately with existing contracts without due process and compensation.</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b/>
          <w:bCs/>
          <w:color w:val="000000"/>
          <w:szCs w:val="20"/>
        </w:rPr>
      </w:pPr>
      <w:r>
        <w:rPr>
          <w:b/>
          <w:bCs/>
          <w:color w:val="000000"/>
          <w:szCs w:val="20"/>
        </w:rPr>
        <w:t>5. What effect does slowing electric deregulation have?</w:t>
      </w:r>
    </w:p>
    <w:p>
      <w:pPr>
        <w:pStyle w:val="Normal"/>
        <w:autoSpaceDE w:val="false"/>
        <w:spacing w:lineRule="atLeast" w:line="240"/>
        <w:rPr>
          <w:b/>
          <w:bCs/>
          <w:color w:val="000000"/>
          <w:szCs w:val="20"/>
        </w:rPr>
      </w:pPr>
      <w:r>
        <w:rPr>
          <w:b/>
          <w:bCs/>
          <w:color w:val="000000"/>
          <w:szCs w:val="20"/>
        </w:rPr>
      </w:r>
    </w:p>
    <w:p>
      <w:pPr>
        <w:pStyle w:val="BodyText"/>
        <w:rPr/>
      </w:pPr>
      <w:r>
        <w:rPr/>
        <w:t xml:space="preserve">6.  What is credit exposure to utilities, PX, ISO - if still can't get numbers is exposure changing, what about Retail direct access credit receivables.  What of ENE's $580 in receivables is "Allowable" - how much is contested?  </w:t>
      </w:r>
    </w:p>
    <w:p>
      <w:pPr>
        <w:pStyle w:val="Normal"/>
        <w:autoSpaceDE w:val="false"/>
        <w:rPr>
          <w:szCs w:val="20"/>
        </w:rPr>
      </w:pPr>
      <w:r>
        <w:rPr>
          <w:szCs w:val="20"/>
        </w:rPr>
      </w:r>
    </w:p>
    <w:p>
      <w:pPr>
        <w:pStyle w:val="Normal"/>
        <w:autoSpaceDE w:val="false"/>
        <w:rPr>
          <w:szCs w:val="20"/>
        </w:rPr>
      </w:pPr>
      <w:r>
        <w:rPr>
          <w:szCs w:val="20"/>
        </w:rPr>
        <w:t>Enron has a number of pending matters before both the CPUC and the FERC related to the California power crisis.  FERC has ordered a proceeding to determine the amount of refunds due in the CAISO and Cal PX markets.  FERC has also opened an Investigation into Pacific Northwest refunds.  In that case, the ALJ has found that no refunds are due and we expect  FERC to rule on the findings before the end of the year.</w:t>
      </w:r>
    </w:p>
    <w:p>
      <w:pPr>
        <w:pStyle w:val="Normal"/>
        <w:autoSpaceDE w:val="false"/>
        <w:rPr>
          <w:szCs w:val="20"/>
        </w:rPr>
      </w:pPr>
      <w:r>
        <w:rPr>
          <w:szCs w:val="20"/>
        </w:rPr>
      </w:r>
    </w:p>
    <w:p>
      <w:pPr>
        <w:pStyle w:val="Normal"/>
        <w:autoSpaceDE w:val="false"/>
        <w:rPr>
          <w:szCs w:val="20"/>
        </w:rPr>
      </w:pPr>
      <w:r>
        <w:rPr>
          <w:szCs w:val="20"/>
        </w:rPr>
        <w:t>The CPUC complaints relate to the validity of the Negative CTC and Enron’s role in “manipulating” the market to increase the overall Negative CTC.  In addition, we have filed a billing dispute to recoup our Negative CTC against the current T&amp;D charges.</w:t>
      </w:r>
    </w:p>
    <w:p>
      <w:pPr>
        <w:pStyle w:val="Normal"/>
        <w:autoSpaceDE w:val="false"/>
        <w:rPr>
          <w:szCs w:val="20"/>
        </w:rPr>
      </w:pPr>
      <w:r>
        <w:rPr>
          <w:szCs w:val="20"/>
        </w:rPr>
      </w:r>
    </w:p>
    <w:p>
      <w:pPr>
        <w:pStyle w:val="Normal"/>
        <w:autoSpaceDE w:val="false"/>
        <w:rPr>
          <w:szCs w:val="20"/>
        </w:rPr>
      </w:pPr>
      <w:r>
        <w:rPr>
          <w:szCs w:val="20"/>
        </w:rPr>
        <w:t>PLEASE SEE MARY LYNNE RUFFER AND GEORGIANA HODGES FOR THE EPMI/EES exposures.</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alatino">
    <w:altName w:val="Book Antiqu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CALIFORNIA RETAIL RISKS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b/>
      <w:bCs/>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rFonts w:ascii="Palatino;Book Antiqua" w:hAnsi="Palatino;Book Antiqua" w:cs="Palatino;Book Antiqua"/>
      <w:sz w:val="26"/>
      <w:szCs w:val="20"/>
    </w:rPr>
  </w:style>
  <w:style w:type="paragraph" w:styleId="FootnoteText">
    <w:name w:val="footnote text"/>
    <w:basedOn w:val="Normal"/>
    <w:pPr>
      <w:spacing w:before="0" w:after="240"/>
    </w:pPr>
    <w:rPr>
      <w:rFonts w:ascii="Palatino;Book Antiqua" w:hAnsi="Palatino;Book Antiqua" w:cs="Palatino;Book Antiqua"/>
      <w:szCs w:val="20"/>
    </w:rPr>
  </w:style>
  <w:style w:type="paragraph" w:styleId="no1">
    <w:name w:val="no.1"/>
    <w:basedOn w:val="Normal"/>
    <w:qFormat/>
    <w:pPr>
      <w:numPr>
        <w:ilvl w:val="0"/>
        <w:numId w:val="1"/>
      </w:numPr>
      <w:spacing w:before="0" w:after="120"/>
      <w:ind w:hanging="0" w:start="0" w:end="720"/>
    </w:pPr>
    <w:rPr>
      <w:rFonts w:ascii="Palatino;Book Antiqua" w:hAnsi="Palatino;Book Antiqua" w:cs="Palatino;Book Antiqua"/>
      <w:bCs/>
      <w:sz w:val="26"/>
      <w:szCs w:val="20"/>
    </w:rPr>
  </w:style>
  <w:style w:type="paragraph" w:styleId="noa">
    <w:name w:val="no.a"/>
    <w:basedOn w:val="Normal"/>
    <w:qFormat/>
    <w:pPr>
      <w:tabs>
        <w:tab w:val="clear" w:pos="720"/>
        <w:tab w:val="left" w:pos="1440" w:leader="none"/>
      </w:tabs>
      <w:spacing w:before="0" w:after="120"/>
      <w:ind w:hanging="0" w:start="1440" w:end="0"/>
    </w:pPr>
    <w:rPr>
      <w:rFonts w:ascii="Palatino;Book Antiqua" w:hAnsi="Palatino;Book Antiqua" w:cs="Palatino;Book Antiqua"/>
      <w:bCs/>
      <w:sz w:val="26"/>
      <w:szCs w:val="20"/>
    </w:rPr>
  </w:style>
  <w:style w:type="paragraph" w:styleId="a2">
    <w:name w:val="a.2"/>
    <w:basedOn w:val="Normal"/>
    <w:qFormat/>
    <w:pPr>
      <w:numPr>
        <w:ilvl w:val="0"/>
        <w:numId w:val="1"/>
      </w:numPr>
      <w:spacing w:before="0" w:after="120"/>
    </w:pPr>
    <w:rPr>
      <w:rFonts w:ascii="Palatino;Book Antiqua" w:hAnsi="Palatino;Book Antiqua" w:cs="Palatino;Book Antiqua"/>
      <w:bCs/>
      <w:sz w:val="26"/>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2001-10-25T13:29:00Z</dcterms:created>
  <dc:creator>jsteffe</dc:creator>
  <dc:description/>
  <dc:language>en-CA</dc:language>
  <cp:lastModifiedBy>jsteffe</cp:lastModifiedBy>
  <cp:lastPrinted>2001-10-25T10:04:00Z</cp:lastPrinted>
  <dcterms:modified xsi:type="dcterms:W3CDTF">2001-10-25T13:29:00Z</dcterms:modified>
  <cp:revision>2</cp:revision>
  <dc:subject/>
  <dc:title>·</dc:title>
</cp:coreProperties>
</file>