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California Rate Scenarios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I.  Worst Case – Customer Loses – Wet/Dry/Normal</w:t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Rate change effective 4/01/01</w:t>
      </w:r>
    </w:p>
    <w:p>
      <w:pPr>
        <w:pStyle w:val="Normal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No transmission take-over</w:t>
      </w:r>
    </w:p>
    <w:p>
      <w:pPr>
        <w:pStyle w:val="Normal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No netting of TRBA and TCBA</w:t>
      </w:r>
    </w:p>
    <w:p>
      <w:pPr>
        <w:pStyle w:val="Normal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SB47X not implemented</w:t>
      </w:r>
    </w:p>
    <w:p>
      <w:pPr>
        <w:pStyle w:val="Normal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12% discount rate for amortization purposes</w:t>
      </w:r>
    </w:p>
    <w:p>
      <w:pPr>
        <w:pStyle w:val="Normal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CDWR fills net position by 12/01/01</w:t>
        <w:b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II.  Base Case – Governor Davis Bailout Proposal – Wet/Dry/Normal</w:t>
        <w:br/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Rate change effective 10/01/01</w:t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Transmission take-over</w:t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Transmission premium reflected in rates</w:t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Netting of TRBA and TCBA</w:t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SB47X not implemented</w:t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9% discount rate for amortization purposes</w:t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CDWR fills net position by 8/01/01</w:t>
        <w:br/>
        <w:br/>
      </w:r>
    </w:p>
    <w:p>
      <w:pPr>
        <w:pStyle w:val="BodyText"/>
        <w:rPr/>
      </w:pPr>
      <w:r>
        <w:rPr/>
        <w:t>III.  Best Case – TURN Wins/ QF fix – Wet/Dry/Normal</w:t>
        <w:br/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Rate change effective 1/01/02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Transmission take-over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No reflection of transmission premium in rates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Netting of TRBA and TCBA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SB47X implemented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6% discount rate for amortization purposes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CDWR fills net position by 4/01/01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8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2001-03-06T21:42:00Z</dcterms:created>
  <dc:creator>rneusta</dc:creator>
  <dc:description/>
  <dc:language>en-CA</dc:language>
  <cp:lastModifiedBy>rneusta</cp:lastModifiedBy>
  <cp:lastPrinted>2001-03-06T18:28:00Z</cp:lastPrinted>
  <dcterms:modified xsi:type="dcterms:W3CDTF">2001-03-06T22:39:00Z</dcterms:modified>
  <cp:revision>1</cp:revision>
  <dc:subject/>
  <dc:title>California Rate Scenarios</dc:title>
</cp:coreProperties>
</file>