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Bdr>
          <w:top w:val="single" w:sz="4" w:space="1" w:color="000000"/>
          <w:left w:val="single" w:sz="4" w:space="4" w:color="000000"/>
          <w:bottom w:val="single" w:sz="4" w:space="1" w:color="000000"/>
          <w:right w:val="single" w:sz="4" w:space="4" w:color="000000"/>
        </w:pBdr>
        <w:rPr/>
      </w:pPr>
      <w:r>
        <w:rPr/>
        <w:t>A Common Sense Solution for California’s Electricity Industry</w:t>
      </w:r>
    </w:p>
    <w:p>
      <w:pPr>
        <w:pStyle w:val="Normal"/>
        <w:jc w:val="center"/>
        <w:rPr/>
      </w:pPr>
      <w:r>
        <w:rPr/>
      </w:r>
    </w:p>
    <w:p>
      <w:pPr>
        <w:pStyle w:val="Normal"/>
        <w:numPr>
          <w:ilvl w:val="0"/>
          <w:numId w:val="2"/>
        </w:numPr>
        <w:tabs>
          <w:tab w:val="clear" w:pos="720"/>
        </w:tabs>
        <w:rPr>
          <w:b/>
          <w:bCs/>
          <w:i/>
          <w:i/>
          <w:iCs/>
        </w:rPr>
      </w:pPr>
      <w:r>
        <w:rPr>
          <w:b/>
          <w:bCs/>
          <w:i/>
          <w:iCs/>
        </w:rPr>
        <w:t>End California’s overdependence on spot markets and rely on forward contracting, like all other competitive markets do.</w:t>
      </w:r>
    </w:p>
    <w:p>
      <w:pPr>
        <w:pStyle w:val="Normal"/>
        <w:rPr>
          <w:b/>
          <w:bCs/>
          <w:i/>
          <w:i/>
          <w:iCs/>
        </w:rPr>
      </w:pPr>
      <w:r>
        <w:rPr>
          <w:b/>
          <w:bCs/>
          <w:i/>
          <w:iCs/>
        </w:rPr>
      </w:r>
    </w:p>
    <w:p>
      <w:pPr>
        <w:pStyle w:val="BodyTextIndent3"/>
        <w:rPr/>
      </w:pPr>
      <w:r>
        <w:rPr/>
        <w:t>Action:</w:t>
        <w:tab/>
        <w:t>End the requirement that the utility buy and sell all electricity through the Power Exchange.</w:t>
      </w:r>
    </w:p>
    <w:p>
      <w:pPr>
        <w:pStyle w:val="Normal"/>
        <w:rPr>
          <w:i/>
          <w:i/>
          <w:iCs/>
        </w:rPr>
      </w:pPr>
      <w:r>
        <w:rPr>
          <w:i/>
          <w:iCs/>
        </w:rPr>
      </w:r>
    </w:p>
    <w:p>
      <w:pPr>
        <w:pStyle w:val="BodyTextIndent"/>
        <w:ind w:firstLine="720" w:end="0"/>
        <w:rPr/>
      </w:pPr>
      <w:r>
        <w:rPr/>
        <w:t xml:space="preserve">All competitive markets are based predominantly on bi-lateral contracts.  Spot markets enhance these contract-based markets by providing an efficient way to account for unplanned events.  </w:t>
      </w:r>
    </w:p>
    <w:p>
      <w:pPr>
        <w:pStyle w:val="Normal"/>
        <w:ind w:firstLine="288" w:end="0"/>
        <w:rPr/>
      </w:pPr>
      <w:r>
        <w:rPr/>
      </w:r>
    </w:p>
    <w:p>
      <w:pPr>
        <w:pStyle w:val="BodyTextIndent2"/>
        <w:rPr/>
      </w:pPr>
      <w:r>
        <w:rPr/>
        <w:t xml:space="preserve">For example, based on forecasts of the demand for flour, producers sign contracts with wheat suppliers.  These contracts let flour producers “lock in” both the amount of wheat they need to meet demand and the price they need to manage costs and (hopefully) make a profit. But forecasts are never perfect.  If orders for flour exceed the forecast, the contracts won’t provide enough wheat and flour producers will be caught short-handed. This is where the spot market helps.  It provides an efficient, cheap way for the flour producer to </w:t>
      </w:r>
      <w:r>
        <w:rPr>
          <w:i/>
          <w:iCs/>
        </w:rPr>
        <w:t>buy</w:t>
      </w:r>
      <w:r>
        <w:rPr/>
        <w:t xml:space="preserve"> a little more wheat to meet the additional demand.  Thanks to the spot market, the flour producer can keep its customers happy and enhance profits, too.  </w:t>
      </w:r>
    </w:p>
    <w:p>
      <w:pPr>
        <w:pStyle w:val="BodyTextIndent2"/>
        <w:ind w:hanging="0" w:end="0"/>
        <w:rPr/>
      </w:pPr>
      <w:r>
        <w:rPr/>
      </w:r>
    </w:p>
    <w:p>
      <w:pPr>
        <w:pStyle w:val="BodyTextIndent2"/>
        <w:rPr/>
      </w:pPr>
      <w:r>
        <w:rPr/>
        <w:t xml:space="preserve">Likewise, if demand for flour is a little less than forecast, the wheat contracts will provide more wheat than the flour producer needs to meet demand and the flour producer will have leftover wheat.  Again, the spot market offers an efficient way for the flour producer to </w:t>
      </w:r>
      <w:r>
        <w:rPr>
          <w:i/>
          <w:iCs/>
        </w:rPr>
        <w:t>sell</w:t>
      </w:r>
      <w:r>
        <w:rPr/>
        <w:t xml:space="preserve"> excess wheat to someone else who needs it.</w:t>
      </w:r>
    </w:p>
    <w:p>
      <w:pPr>
        <w:pStyle w:val="BodyTextIndent2"/>
        <w:rPr/>
      </w:pPr>
      <w:r>
        <w:rPr/>
      </w:r>
    </w:p>
    <w:p>
      <w:pPr>
        <w:pStyle w:val="BodyTextIndent2"/>
        <w:rPr/>
      </w:pPr>
      <w:r>
        <w:rPr/>
        <w:t xml:space="preserve">The architects of California’s restructuring law, AB 1890, undertook an experiment that turned all of our experience with well-functioning markets on its head.  Based on the theory that California could create the “perfect” spot market, California created the Power Exchange, or PX, and forced California’s utilities to buy and sell all of their electricity through government-created electricity spot market.  </w:t>
      </w:r>
    </w:p>
    <w:p>
      <w:pPr>
        <w:pStyle w:val="BodyTextIndent2"/>
        <w:rPr/>
      </w:pPr>
      <w:r>
        <w:rPr/>
      </w:r>
    </w:p>
    <w:p>
      <w:pPr>
        <w:pStyle w:val="BodyTextIndent2"/>
        <w:rPr/>
      </w:pPr>
      <w:r>
        <w:rPr/>
        <w:t>The approach taken in AB 1890 is tantamount to forcing every California family to finance their hom using a variable rate mortgage.  Variable rate mortages are fine when interest rates are falling, but they are risky, and homeowners can get badly hurt if rates rise.</w:t>
      </w:r>
    </w:p>
    <w:p>
      <w:pPr>
        <w:pStyle w:val="BodyTextIndent2"/>
        <w:rPr/>
      </w:pPr>
      <w:r>
        <w:rPr/>
      </w:r>
    </w:p>
    <w:p>
      <w:pPr>
        <w:pStyle w:val="BodyTextIndent2"/>
        <w:rPr/>
      </w:pPr>
      <w:r>
        <w:rPr/>
        <w:t>It would be a mistake to require all Californians to finance their homes using variable rate mortgages, and it was a mistake to mandate an equivalent policy in the electric industry.  California should make forward contracts the focal point of the electric industry, just like they are in every other industry.  California should end the requirement that the utilities buy and sell power through the power exchange.</w:t>
      </w:r>
      <w:r>
        <w:br w:type="page"/>
      </w:r>
    </w:p>
    <w:p>
      <w:pPr>
        <w:pStyle w:val="BodyTextIndent2"/>
        <w:ind w:hanging="0" w:end="0"/>
        <w:rPr/>
      </w:pPr>
      <w:r>
        <w:rPr/>
      </w:r>
    </w:p>
    <w:p>
      <w:pPr>
        <w:pStyle w:val="BodyTextIndent2"/>
        <w:numPr>
          <w:ilvl w:val="0"/>
          <w:numId w:val="3"/>
        </w:numPr>
        <w:tabs>
          <w:tab w:val="clear" w:pos="720"/>
        </w:tabs>
        <w:ind w:hanging="360" w:start="360" w:end="0"/>
        <w:rPr>
          <w:b/>
          <w:bCs/>
          <w:i/>
          <w:i/>
          <w:iCs/>
        </w:rPr>
      </w:pPr>
      <w:r>
        <w:rPr>
          <w:b/>
          <w:bCs/>
          <w:i/>
          <w:iCs/>
        </w:rPr>
        <w:t>End California’s policy of picking energy winners and losers and make utilities accountable for meeting their customers’ energy needs</w:t>
      </w:r>
    </w:p>
    <w:p>
      <w:pPr>
        <w:pStyle w:val="BodyTextIndent2"/>
        <w:rPr>
          <w:b/>
          <w:bCs/>
          <w:i/>
          <w:i/>
          <w:iCs/>
        </w:rPr>
      </w:pPr>
      <w:r>
        <w:rPr>
          <w:b/>
          <w:bCs/>
          <w:i/>
          <w:iCs/>
        </w:rPr>
      </w:r>
    </w:p>
    <w:p>
      <w:pPr>
        <w:pStyle w:val="BodyTextIndent2"/>
        <w:ind w:hanging="1440" w:start="1440" w:end="0"/>
        <w:rPr>
          <w:i/>
          <w:i/>
          <w:iCs/>
        </w:rPr>
      </w:pPr>
      <w:r>
        <w:rPr>
          <w:i/>
          <w:iCs/>
        </w:rPr>
        <w:t>Action:</w:t>
        <w:tab/>
        <w:t>Draw on the successes of natural gas regulation and use financial incentives to make the utilities accountable for electricity purchases.</w:t>
      </w:r>
    </w:p>
    <w:p>
      <w:pPr>
        <w:pStyle w:val="BodyTextIndent2"/>
        <w:rPr>
          <w:i/>
          <w:i/>
          <w:iCs/>
        </w:rPr>
      </w:pPr>
      <w:r>
        <w:rPr>
          <w:i/>
          <w:iCs/>
        </w:rPr>
      </w:r>
    </w:p>
    <w:p>
      <w:pPr>
        <w:pStyle w:val="BodyTextIndent2"/>
        <w:rPr/>
      </w:pPr>
      <w:r>
        <w:rPr/>
        <w:t>Planning for energy security is like planning for financial security.  Sound financial planning requires a well-diversified, balanced portfolio.  Californians don’t rely on state government to manage their personal financial portfolios.  Interestingly, however, California has a long history of acting, in collaboration with the utility, as the energy portfolio manager for the state’s electricity consumers.  Unfortunately, California hasn’t performed well in that role in the past, and it isn’t likely to do any better in the future. This is largely due to California’s tendency to shy away from a “balanced portfolio” approach to procurement in favor of a single “silver bullet” energy solution.</w:t>
      </w:r>
    </w:p>
    <w:p>
      <w:pPr>
        <w:pStyle w:val="BodyTextIndent2"/>
        <w:rPr/>
      </w:pPr>
      <w:r>
        <w:rPr/>
      </w:r>
    </w:p>
    <w:p>
      <w:pPr>
        <w:pStyle w:val="BodyTextIndent2"/>
        <w:rPr/>
      </w:pPr>
      <w:r>
        <w:rPr/>
        <w:t>For example, in the 1960s California focused on oil as the fuel of choice to produce electricity.  When oil prices spiked in the 1970s, consumers paid the price.  In response, California dramatically changed the state’s energy portfolio in favor of nuclear power plants.  When the cost of those plants soared well above utility forecasts, consumers were again left holding the bag.   When overdependence on nuclear technology failed, California reshuffled the energy portfolio yet again in favor of contracts with independent power producers.  However, the costs of those contracts turned out to be high and consumers ended up shouldering the costs.  More recently, California decided on behalf of consumers to rely almost exclusively on spot markets to serve utility customers.  That decision exposed consumers to price volatility and has partially led to the electricity problems California currently faces.</w:t>
      </w:r>
    </w:p>
    <w:p>
      <w:pPr>
        <w:pStyle w:val="BodyTextIndent2"/>
        <w:rPr/>
      </w:pPr>
      <w:r>
        <w:rPr/>
      </w:r>
    </w:p>
    <w:p>
      <w:pPr>
        <w:pStyle w:val="BodyTextIndent2"/>
        <w:rPr/>
      </w:pPr>
      <w:r>
        <w:rPr/>
        <w:t>To avoid the signficant risks that result from a nondiversified electricity procurement strategy, California should take a different approach and emulate the model it adopted to oversee the utilities’ procurement of natural gas.  Three fundamental features of the gas model account for its success:</w:t>
      </w:r>
    </w:p>
    <w:p>
      <w:pPr>
        <w:pStyle w:val="BodyTextIndent2"/>
        <w:rPr/>
      </w:pPr>
      <w:r>
        <w:rPr/>
      </w:r>
    </w:p>
    <w:p>
      <w:pPr>
        <w:pStyle w:val="BodyTextIndent2"/>
        <w:numPr>
          <w:ilvl w:val="0"/>
          <w:numId w:val="6"/>
        </w:numPr>
        <w:tabs>
          <w:tab w:val="clear" w:pos="720"/>
        </w:tabs>
        <w:rPr>
          <w:i/>
          <w:i/>
          <w:iCs/>
        </w:rPr>
      </w:pPr>
      <w:r>
        <w:rPr>
          <w:i/>
          <w:iCs/>
        </w:rPr>
        <w:t>The utility faces financial incentives to procure well and is accountable for results.</w:t>
      </w:r>
    </w:p>
    <w:p>
      <w:pPr>
        <w:pStyle w:val="BodyTextIndent2"/>
        <w:numPr>
          <w:ilvl w:val="0"/>
          <w:numId w:val="6"/>
        </w:numPr>
        <w:tabs>
          <w:tab w:val="clear" w:pos="720"/>
        </w:tabs>
        <w:rPr>
          <w:i/>
          <w:i/>
          <w:iCs/>
        </w:rPr>
      </w:pPr>
      <w:r>
        <w:rPr>
          <w:i/>
          <w:iCs/>
        </w:rPr>
        <w:t>Permitting California’s gas consumers to switch service providers provides additional incentive for the utility to procure well.</w:t>
      </w:r>
    </w:p>
    <w:p>
      <w:pPr>
        <w:pStyle w:val="BodyTextIndent2"/>
        <w:numPr>
          <w:ilvl w:val="0"/>
          <w:numId w:val="6"/>
        </w:numPr>
        <w:tabs>
          <w:tab w:val="clear" w:pos="720"/>
        </w:tabs>
        <w:rPr>
          <w:i/>
          <w:i/>
          <w:iCs/>
        </w:rPr>
      </w:pPr>
      <w:r>
        <w:rPr>
          <w:i/>
          <w:iCs/>
        </w:rPr>
        <w:t>At the outset, California clearly identified the process by which it would judge utility procurement decisions, thereby minimizing excessive and unnecessary regulatory risk.</w:t>
      </w:r>
    </w:p>
    <w:p>
      <w:pPr>
        <w:pStyle w:val="BodyTextIndent2"/>
        <w:rPr>
          <w:i/>
          <w:i/>
          <w:iCs/>
        </w:rPr>
      </w:pPr>
      <w:r>
        <w:rPr>
          <w:i/>
          <w:iCs/>
        </w:rPr>
      </w:r>
    </w:p>
    <w:p>
      <w:pPr>
        <w:pStyle w:val="BodyTextIndent2"/>
        <w:rPr/>
      </w:pPr>
      <w:r>
        <w:rPr/>
        <w:t>California should establish a similar model for electricity procurement.  Like the gas model, California should establish objective, market-based benchmarks against which California will judge utility procurement.  If the utility procures better than the benchmark, then the utility should share in the “savings” with customers.  Similarly, if the utility procures worse than the benchmark, the utility should share the “losses” with its customers.  This model eliminates the need for heavy-handed, so-called “hindsight” regulatory review, and will significantly reduce excessive regulatory risk.</w:t>
      </w:r>
    </w:p>
    <w:p>
      <w:pPr>
        <w:pStyle w:val="BodyTextIndent2"/>
        <w:rPr/>
      </w:pPr>
      <w:r>
        <w:rPr/>
      </w:r>
    </w:p>
    <w:p>
      <w:pPr>
        <w:pStyle w:val="BodyTextIndent2"/>
        <w:numPr>
          <w:ilvl w:val="0"/>
          <w:numId w:val="3"/>
        </w:numPr>
        <w:tabs>
          <w:tab w:val="clear" w:pos="720"/>
        </w:tabs>
        <w:ind w:hanging="360" w:start="360" w:end="0"/>
        <w:rPr>
          <w:b/>
          <w:bCs/>
          <w:i/>
          <w:i/>
          <w:iCs/>
        </w:rPr>
      </w:pPr>
      <w:r>
        <w:rPr>
          <w:b/>
          <w:bCs/>
          <w:i/>
          <w:iCs/>
        </w:rPr>
        <w:t>Enhance California’s retail markets in order to give customers the choice of either managing price volatility for themselves or remaining with the utility.</w:t>
      </w:r>
    </w:p>
    <w:p>
      <w:pPr>
        <w:pStyle w:val="BodyTextIndent2"/>
        <w:ind w:hanging="0" w:end="0"/>
        <w:rPr>
          <w:b/>
          <w:bCs/>
          <w:i/>
          <w:i/>
          <w:iCs/>
        </w:rPr>
      </w:pPr>
      <w:r>
        <w:rPr>
          <w:b/>
          <w:bCs/>
          <w:i/>
          <w:iCs/>
        </w:rPr>
      </w:r>
    </w:p>
    <w:p>
      <w:pPr>
        <w:pStyle w:val="BodyTextIndent2"/>
        <w:ind w:hanging="1440" w:start="1440" w:end="0"/>
        <w:rPr>
          <w:i/>
          <w:i/>
          <w:iCs/>
        </w:rPr>
      </w:pPr>
      <w:r>
        <w:rPr>
          <w:i/>
          <w:iCs/>
        </w:rPr>
        <w:t>Action:</w:t>
        <w:tab/>
        <w:t>The California Public Utilities Commission should immediately undertake an expedited review of existing regulatory and legal impediments to retail choice and identify solutions designed to remove those barriers.</w:t>
      </w:r>
    </w:p>
    <w:p>
      <w:pPr>
        <w:pStyle w:val="BodyTextIndent2"/>
        <w:ind w:hanging="1440" w:start="1440" w:end="0"/>
        <w:rPr/>
      </w:pPr>
      <w:r>
        <w:rPr/>
      </w:r>
    </w:p>
    <w:p>
      <w:pPr>
        <w:pStyle w:val="BodyTextIndent2"/>
        <w:rPr/>
      </w:pPr>
      <w:r>
        <w:rPr/>
        <w:t>The architects of California’s restructuring law, AB 1890, indicated that the law was not intended to create robust retail markets for electricity in California.  Instead, AB 1890’s architects focused on creating competition in California’s wholesale markets.  As a result, less than XX% of California’s residential and small commercial customers, and only XX% of large business customers switched to another provider.  This has left California with the following set of unfortunate circumstances:</w:t>
      </w:r>
    </w:p>
    <w:p>
      <w:pPr>
        <w:pStyle w:val="BodyTextIndent2"/>
        <w:rPr/>
      </w:pPr>
      <w:r>
        <w:rPr/>
      </w:r>
    </w:p>
    <w:p>
      <w:pPr>
        <w:pStyle w:val="BodyTextIndent2"/>
        <w:numPr>
          <w:ilvl w:val="0"/>
          <w:numId w:val="1"/>
        </w:numPr>
        <w:tabs>
          <w:tab w:val="clear" w:pos="720"/>
        </w:tabs>
        <w:rPr>
          <w:i/>
          <w:i/>
          <w:iCs/>
        </w:rPr>
      </w:pPr>
      <w:r>
        <w:rPr>
          <w:i/>
          <w:iCs/>
        </w:rPr>
        <w:t>Utilities have been left with the task of procuring a very significant quantity of power, even though procurement is not the utiliies’ core competency</w:t>
      </w:r>
    </w:p>
    <w:p>
      <w:pPr>
        <w:pStyle w:val="BodyTextIndent2"/>
        <w:numPr>
          <w:ilvl w:val="0"/>
          <w:numId w:val="1"/>
        </w:numPr>
        <w:tabs>
          <w:tab w:val="clear" w:pos="720"/>
        </w:tabs>
        <w:rPr>
          <w:i/>
          <w:i/>
          <w:iCs/>
        </w:rPr>
      </w:pPr>
      <w:r>
        <w:rPr>
          <w:i/>
          <w:iCs/>
        </w:rPr>
        <w:t>Utilities have been forced to purchase power through a commodity spot market (the Power Exchange) rather than pursue a more balanced set of procurment strategies</w:t>
      </w:r>
    </w:p>
    <w:p>
      <w:pPr>
        <w:pStyle w:val="BodyTextIndent2"/>
        <w:numPr>
          <w:ilvl w:val="0"/>
          <w:numId w:val="1"/>
        </w:numPr>
        <w:tabs>
          <w:tab w:val="clear" w:pos="720"/>
        </w:tabs>
        <w:rPr>
          <w:i/>
          <w:i/>
          <w:iCs/>
        </w:rPr>
      </w:pPr>
      <w:r>
        <w:rPr>
          <w:i/>
          <w:iCs/>
        </w:rPr>
        <w:t xml:space="preserve">Price volatility—and the risks associated with volatility—are a basic feature of all commodity spot markets </w:t>
      </w:r>
    </w:p>
    <w:p>
      <w:pPr>
        <w:pStyle w:val="BodyTextIndent2"/>
        <w:numPr>
          <w:ilvl w:val="0"/>
          <w:numId w:val="1"/>
        </w:numPr>
        <w:tabs>
          <w:tab w:val="clear" w:pos="720"/>
        </w:tabs>
        <w:rPr>
          <w:i/>
          <w:i/>
          <w:iCs/>
        </w:rPr>
      </w:pPr>
      <w:r>
        <w:rPr>
          <w:i/>
          <w:iCs/>
        </w:rPr>
        <w:t>The utilities are not permitted to make appropriate trade-offs between the cost of power and price stability</w:t>
      </w:r>
    </w:p>
    <w:p>
      <w:pPr>
        <w:pStyle w:val="BodyTextIndent2"/>
        <w:numPr>
          <w:ilvl w:val="0"/>
          <w:numId w:val="1"/>
        </w:numPr>
        <w:tabs>
          <w:tab w:val="clear" w:pos="720"/>
        </w:tabs>
        <w:rPr>
          <w:i/>
          <w:i/>
          <w:iCs/>
        </w:rPr>
      </w:pPr>
      <w:r>
        <w:rPr>
          <w:i/>
          <w:iCs/>
        </w:rPr>
        <w:t>The lion’s share of customers effectively have no choice but to remain a utility customer and accept the significant risk of price volatility</w:t>
      </w:r>
    </w:p>
    <w:p>
      <w:pPr>
        <w:pStyle w:val="BodyTextIndent2"/>
        <w:rPr>
          <w:i/>
          <w:i/>
          <w:iCs/>
        </w:rPr>
      </w:pPr>
      <w:r>
        <w:rPr>
          <w:i/>
          <w:iCs/>
        </w:rPr>
      </w:r>
    </w:p>
    <w:p>
      <w:pPr>
        <w:pStyle w:val="BodyTextIndent2"/>
        <w:rPr/>
      </w:pPr>
      <w:r>
        <w:rPr/>
        <w:t>Stakeholders and policy makers agree that these circumstances are neither preferred nor sustainable.  Any solution to California’s electricity problems must include making the state’s retail markets work.  If customers have real electricity service options:</w:t>
      </w:r>
    </w:p>
    <w:p>
      <w:pPr>
        <w:pStyle w:val="BodyTextIndent2"/>
        <w:rPr/>
      </w:pPr>
      <w:r>
        <w:rPr/>
      </w:r>
    </w:p>
    <w:p>
      <w:pPr>
        <w:pStyle w:val="BodyTextIndent2"/>
        <w:numPr>
          <w:ilvl w:val="0"/>
          <w:numId w:val="4"/>
        </w:numPr>
        <w:tabs>
          <w:tab w:val="clear" w:pos="720"/>
        </w:tabs>
        <w:rPr>
          <w:i/>
          <w:i/>
          <w:iCs/>
        </w:rPr>
      </w:pPr>
      <w:r>
        <w:rPr>
          <w:i/>
          <w:iCs/>
        </w:rPr>
        <w:t xml:space="preserve">Customers can switch service providers and dramatically reduce the significant risks related to price volatility embedded in the current system </w:t>
      </w:r>
    </w:p>
    <w:p>
      <w:pPr>
        <w:pStyle w:val="BodyTextIndent2"/>
        <w:numPr>
          <w:ilvl w:val="0"/>
          <w:numId w:val="4"/>
        </w:numPr>
        <w:tabs>
          <w:tab w:val="clear" w:pos="720"/>
        </w:tabs>
        <w:rPr>
          <w:i/>
          <w:i/>
          <w:iCs/>
        </w:rPr>
      </w:pPr>
      <w:r>
        <w:rPr>
          <w:i/>
          <w:iCs/>
        </w:rPr>
        <w:t>The utility will face an additional incentive to procure well since customers can switch to other providers offering better deals</w:t>
      </w:r>
    </w:p>
    <w:p>
      <w:pPr>
        <w:pStyle w:val="BodyTextIndent2"/>
        <w:numPr>
          <w:ilvl w:val="0"/>
          <w:numId w:val="4"/>
        </w:numPr>
        <w:tabs>
          <w:tab w:val="clear" w:pos="720"/>
        </w:tabs>
        <w:rPr>
          <w:i/>
          <w:i/>
          <w:iCs/>
        </w:rPr>
      </w:pPr>
      <w:r>
        <w:rPr>
          <w:i/>
          <w:iCs/>
        </w:rPr>
        <w:t>The utility’s procurement risk will drop significantly since it will have fewer customers to serve in an electricity industry with real retail choices.</w:t>
      </w:r>
    </w:p>
    <w:p>
      <w:pPr>
        <w:pStyle w:val="BodyTextIndent2"/>
        <w:rPr>
          <w:i/>
          <w:i/>
          <w:iCs/>
        </w:rPr>
      </w:pPr>
      <w:r>
        <w:rPr>
          <w:i/>
          <w:iCs/>
        </w:rPr>
      </w:r>
    </w:p>
    <w:p>
      <w:pPr>
        <w:pStyle w:val="BodyTextIndent2"/>
        <w:ind w:hanging="0" w:end="0"/>
        <w:rPr/>
      </w:pPr>
      <w:r>
        <w:rPr/>
        <w:t>To hasten the development of retail markets and price stability, California could over time:</w:t>
      </w:r>
    </w:p>
    <w:p>
      <w:pPr>
        <w:pStyle w:val="BodyTextIndent2"/>
        <w:numPr>
          <w:ilvl w:val="0"/>
          <w:numId w:val="7"/>
        </w:numPr>
        <w:tabs>
          <w:tab w:val="clear" w:pos="720"/>
        </w:tabs>
        <w:ind w:hanging="288" w:start="360" w:end="0"/>
        <w:rPr/>
      </w:pPr>
      <w:r>
        <w:rPr>
          <w:b/>
          <w:bCs/>
          <w:i/>
          <w:iCs/>
        </w:rPr>
        <w:t>Create a “core/noncore” framework similar to the state’s natural gas industry.</w:t>
      </w:r>
      <w:r>
        <w:rPr/>
        <w:t xml:space="preserve">  </w:t>
      </w:r>
      <w:r>
        <w:rPr>
          <w:i/>
          <w:iCs/>
        </w:rPr>
        <w:t>Under that framework, residential and small commercial (“core”) customers have a choice of remaining a utility customer, or switching to a competing service provider.  In contrast, large (“noncore”) customers procure service exclusively from competing service providers.</w:t>
      </w:r>
    </w:p>
    <w:p>
      <w:pPr>
        <w:pStyle w:val="BodyTextIndent2"/>
        <w:numPr>
          <w:ilvl w:val="0"/>
          <w:numId w:val="7"/>
        </w:numPr>
        <w:tabs>
          <w:tab w:val="clear" w:pos="720"/>
        </w:tabs>
        <w:ind w:hanging="288" w:start="360" w:end="0"/>
        <w:rPr/>
      </w:pPr>
      <w:r>
        <w:rPr>
          <w:b/>
          <w:bCs/>
          <w:i/>
          <w:iCs/>
        </w:rPr>
        <w:t>Subject to competitive auction some, or all, of the load needed to serve “core” customers who have chosen to remain with the utility.</w:t>
      </w:r>
    </w:p>
    <w:p>
      <w:pPr>
        <w:pStyle w:val="BodyTextIndent2"/>
        <w:numPr>
          <w:ilvl w:val="1"/>
          <w:numId w:val="7"/>
        </w:numPr>
        <w:tabs>
          <w:tab w:val="clear" w:pos="720"/>
        </w:tabs>
        <w:ind w:hanging="360" w:start="360" w:end="0"/>
        <w:rPr>
          <w:b/>
          <w:bCs/>
          <w:i/>
          <w:i/>
          <w:iCs/>
        </w:rPr>
      </w:pPr>
      <w:r>
        <w:rPr>
          <w:b/>
          <w:bCs/>
          <w:i/>
          <w:iCs/>
        </w:rPr>
        <w:t>Maintain frozen electricity prices and immediately increase those prices by a modest amount.  Re-examine the need for retail price caps beginning January 1, 2002.</w:t>
      </w:r>
    </w:p>
    <w:p>
      <w:pPr>
        <w:pStyle w:val="BodyTextIndent2"/>
        <w:ind w:hanging="0" w:end="0"/>
        <w:rPr>
          <w:b/>
          <w:bCs/>
          <w:i/>
          <w:i/>
          <w:iCs/>
        </w:rPr>
      </w:pPr>
      <w:r>
        <w:rPr>
          <w:b/>
          <w:bCs/>
          <w:i/>
          <w:iCs/>
        </w:rPr>
      </w:r>
    </w:p>
    <w:p>
      <w:pPr>
        <w:pStyle w:val="BodyTextIndent2"/>
        <w:ind w:hanging="0" w:end="0"/>
        <w:rPr>
          <w:i/>
          <w:i/>
          <w:iCs/>
        </w:rPr>
      </w:pPr>
      <w:r>
        <w:rPr>
          <w:i/>
          <w:iCs/>
        </w:rPr>
        <w:t>Action:</w:t>
        <w:tab/>
        <w:tab/>
        <w:t>Amend AB 1890 to modestly raise frozen retail electricity prices.</w:t>
      </w:r>
    </w:p>
    <w:p>
      <w:pPr>
        <w:pStyle w:val="BodyTextIndent2"/>
        <w:ind w:firstLine="360" w:end="0"/>
        <w:rPr>
          <w:i/>
          <w:i/>
          <w:iCs/>
        </w:rPr>
      </w:pPr>
      <w:r>
        <w:rPr>
          <w:i/>
          <w:iCs/>
        </w:rPr>
      </w:r>
    </w:p>
    <w:p>
      <w:pPr>
        <w:pStyle w:val="BodyTextIndent2"/>
        <w:ind w:firstLine="360" w:end="0"/>
        <w:rPr/>
      </w:pPr>
      <w:r>
        <w:rPr/>
        <w:t xml:space="preserve">The customers of investor-owned utilities currently pay frozen prices for electricity service that are 10% below the prices paid in 1996.  If California increases the frozen prices by a modest amount (e.g., 10%), customers will pay prices that were in effect in 1996.  </w:t>
      </w:r>
    </w:p>
    <w:p>
      <w:pPr>
        <w:pStyle w:val="BodyTextIndent2"/>
        <w:ind w:firstLine="360" w:end="0"/>
        <w:rPr/>
      </w:pPr>
      <w:r>
        <w:rPr/>
      </w:r>
    </w:p>
    <w:p>
      <w:pPr>
        <w:pStyle w:val="BodyTextIndent2"/>
        <w:ind w:firstLine="360" w:end="0"/>
        <w:rPr/>
      </w:pPr>
      <w:r>
        <w:rPr/>
        <w:t>The modest rate increase, when combined with solutions 1-3, above, would permit California to finance the continuation of frozen prices through Summer 2001 without forcing the utilities to continue to accrue significant undercollections.</w:t>
      </w:r>
    </w:p>
    <w:p>
      <w:pPr>
        <w:pStyle w:val="BodyTextIndent2"/>
        <w:ind w:hanging="0" w:end="0"/>
        <w:rPr/>
      </w:pPr>
      <w:r>
        <w:rPr/>
      </w:r>
    </w:p>
    <w:p>
      <w:pPr>
        <w:pStyle w:val="BodyTextIndent2"/>
        <w:numPr>
          <w:ilvl w:val="1"/>
          <w:numId w:val="7"/>
        </w:numPr>
        <w:tabs>
          <w:tab w:val="clear" w:pos="720"/>
        </w:tabs>
        <w:ind w:hanging="360" w:start="360" w:end="0"/>
        <w:rPr>
          <w:b/>
          <w:bCs/>
          <w:i/>
          <w:i/>
          <w:iCs/>
        </w:rPr>
      </w:pPr>
      <w:r>
        <w:rPr>
          <w:b/>
          <w:bCs/>
          <w:i/>
          <w:iCs/>
        </w:rPr>
        <w:t>Streamline unnecessary regulatory impediments to the siting and permitting of energy-related infrastructure, including power plants and electric and gas transmission facilities.</w:t>
      </w:r>
    </w:p>
    <w:p>
      <w:pPr>
        <w:pStyle w:val="BodyTextIndent2"/>
        <w:rPr>
          <w:b/>
          <w:bCs/>
          <w:i/>
          <w:i/>
          <w:iCs/>
        </w:rPr>
      </w:pPr>
      <w:r>
        <w:rPr>
          <w:b/>
          <w:bCs/>
          <w:i/>
          <w:iCs/>
        </w:rPr>
      </w:r>
    </w:p>
    <w:p>
      <w:pPr>
        <w:pStyle w:val="BodyTextIndent2"/>
        <w:ind w:hanging="1440" w:start="1440" w:end="0"/>
        <w:rPr>
          <w:i/>
          <w:i/>
          <w:iCs/>
        </w:rPr>
      </w:pPr>
      <w:r>
        <w:rPr>
          <w:i/>
          <w:iCs/>
        </w:rPr>
        <w:t>Action:</w:t>
        <w:tab/>
        <w:t>[[Sandi will take lead on actions we might want to recommend.  May want to add that we’re working closely with the CEC to help find solutions.]]</w:t>
      </w:r>
    </w:p>
    <w:p>
      <w:pPr>
        <w:pStyle w:val="BodyTextIndent2"/>
        <w:ind w:hanging="0" w:end="0"/>
        <w:rPr/>
      </w:pPr>
      <w:r>
        <w:rPr/>
      </w:r>
    </w:p>
    <w:p>
      <w:pPr>
        <w:pStyle w:val="BodyTextIndent2"/>
        <w:ind w:hanging="0" w:end="0"/>
        <w:rPr/>
      </w:pPr>
      <w:r>
        <w:rPr/>
        <w:tab/>
        <w:t xml:space="preserve">California has for the last two decades pursued a state energy policy based on imports.  California imports approximately 90% of its natural gas requirements and as much as 25% [[need to verify number]] of its electricity requirements.  An import-based energy policy requires adequate in-state transportation facilities—and equal access to those facilities—or the policy will not succeed.  </w:t>
      </w:r>
    </w:p>
    <w:p>
      <w:pPr>
        <w:pStyle w:val="BodyTextIndent2"/>
        <w:ind w:hanging="0" w:end="0"/>
        <w:rPr/>
      </w:pPr>
      <w:r>
        <w:rPr/>
      </w:r>
    </w:p>
    <w:p>
      <w:pPr>
        <w:pStyle w:val="BodyTextIndent2"/>
        <w:rPr/>
      </w:pPr>
      <w:r>
        <w:rPr/>
        <w:t>The development of California’s electric and gas transportation infrastructure has not kept pace with the rapid increase in demand for electricity and natural gas services.  In addition, market participants simply do not know with certainty that the transportation services required to deliver electricity and gas services to their customers will be there when its needed.</w:t>
      </w:r>
    </w:p>
    <w:p>
      <w:pPr>
        <w:pStyle w:val="BodyTextIndent2"/>
        <w:rPr/>
      </w:pPr>
      <w:r>
        <w:rPr/>
      </w:r>
    </w:p>
    <w:p>
      <w:pPr>
        <w:pStyle w:val="BodyTextIndent2"/>
        <w:rPr/>
      </w:pPr>
      <w:r>
        <w:rPr/>
        <w:t>California’s pursuit of an import-based energy policy, and the failure of the state’s electric and gas transportation to keep pace with increased energy demand have left California with a severe supply/demand imbalance that threatens reliability.  The best way to achieve lower, more stable prices is to increase investment in power production and in the transportation network needed to deliver the power to retail consumers.  To solve the state’s electricity challenges, California should very quickly:</w:t>
      </w:r>
    </w:p>
    <w:p>
      <w:pPr>
        <w:pStyle w:val="BodyTextIndent2"/>
        <w:rPr/>
      </w:pPr>
      <w:r>
        <w:rPr/>
      </w:r>
    </w:p>
    <w:p>
      <w:pPr>
        <w:pStyle w:val="BodyTextIndent2"/>
        <w:numPr>
          <w:ilvl w:val="0"/>
          <w:numId w:val="5"/>
        </w:numPr>
        <w:tabs>
          <w:tab w:val="clear" w:pos="720"/>
        </w:tabs>
        <w:rPr>
          <w:i/>
          <w:i/>
          <w:iCs/>
        </w:rPr>
      </w:pPr>
      <w:r>
        <w:rPr>
          <w:i/>
          <w:iCs/>
        </w:rPr>
        <w:t>Remove the current array of unnecessasry and excessive impediments to infrastructure investment.  California can remove these impediments and foster infrastructure investment without compromising California’s environmental goals.</w:t>
      </w:r>
    </w:p>
    <w:p>
      <w:pPr>
        <w:pStyle w:val="BodyTextIndent2"/>
        <w:numPr>
          <w:ilvl w:val="0"/>
          <w:numId w:val="5"/>
        </w:numPr>
        <w:tabs>
          <w:tab w:val="clear" w:pos="720"/>
        </w:tabs>
        <w:rPr>
          <w:i/>
          <w:i/>
          <w:iCs/>
        </w:rPr>
      </w:pPr>
      <w:r>
        <w:rPr>
          <w:i/>
          <w:iCs/>
        </w:rPr>
        <w:t>Remove unnecessary and excessive regulatory and legal impediments that prevent fair and open access to the state’s natural gas and electricity transportation nework.</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288" w:hanging="288"/>
      </w:pPr>
      <w:rPr>
        <w:rFonts w:ascii="Wingdings" w:hAnsi="Wingdings" w:cs="Wingdings" w:hint="default"/>
      </w:rPr>
    </w:lvl>
  </w:abstractNum>
  <w:abstractNum w:abstractNumId="2">
    <w:lvl w:ilvl="0">
      <w:start w:val="1"/>
      <w:numFmt w:val="decimal"/>
      <w:lvlText w:val="%1."/>
      <w:lvlJc w:val="start"/>
      <w:pPr>
        <w:tabs>
          <w:tab w:val="num" w:pos="360"/>
        </w:tabs>
        <w:ind w:start="360" w:hanging="360"/>
      </w:pPr>
    </w:lvl>
  </w:abstractNum>
  <w:abstractNum w:abstractNumId="3">
    <w:lvl w:ilvl="0">
      <w:start w:val="2"/>
      <w:numFmt w:val="decimal"/>
      <w:lvlText w:val="%1."/>
      <w:lvlJc w:val="start"/>
      <w:pPr>
        <w:tabs>
          <w:tab w:val="num" w:pos="1080"/>
        </w:tabs>
        <w:ind w:start="1080" w:hanging="360"/>
      </w:pPr>
      <w:rPr/>
    </w:lvl>
  </w:abstractNum>
  <w:abstractNum w:abstractNumId="4">
    <w:lvl w:ilvl="0">
      <w:start w:val="1"/>
      <w:numFmt w:val="bullet"/>
      <w:lvlText w:val=""/>
      <w:lvlJc w:val="start"/>
      <w:pPr>
        <w:tabs>
          <w:tab w:val="num" w:pos="360"/>
        </w:tabs>
        <w:ind w:start="288" w:hanging="288"/>
      </w:pPr>
      <w:rPr>
        <w:rFonts w:ascii="Wingdings" w:hAnsi="Wingdings" w:cs="Wingdings" w:hint="default"/>
      </w:rPr>
    </w:lvl>
  </w:abstractNum>
  <w:abstractNum w:abstractNumId="5">
    <w:lvl w:ilvl="0">
      <w:start w:val="1"/>
      <w:numFmt w:val="bullet"/>
      <w:lvlText w:val=""/>
      <w:lvlJc w:val="start"/>
      <w:pPr>
        <w:tabs>
          <w:tab w:val="num" w:pos="360"/>
        </w:tabs>
        <w:ind w:start="288" w:hanging="288"/>
      </w:pPr>
      <w:rPr>
        <w:rFonts w:ascii="Wingdings" w:hAnsi="Wingdings" w:cs="Wingdings" w:hint="default"/>
      </w:rPr>
    </w:lvl>
  </w:abstractNum>
  <w:abstractNum w:abstractNumId="6">
    <w:lvl w:ilvl="0">
      <w:start w:val="1"/>
      <w:numFmt w:val="bullet"/>
      <w:lvlText w:val=""/>
      <w:lvlJc w:val="start"/>
      <w:pPr>
        <w:tabs>
          <w:tab w:val="num" w:pos="360"/>
        </w:tabs>
        <w:ind w:start="288" w:hanging="288"/>
      </w:pPr>
      <w:rPr>
        <w:rFonts w:ascii="Wingdings" w:hAnsi="Wingdings" w:cs="Wingdings" w:hint="default"/>
      </w:rPr>
    </w:lvl>
  </w:abstractNum>
  <w:abstractNum w:abstractNumId="7">
    <w:lvl w:ilvl="0">
      <w:start w:val="1"/>
      <w:numFmt w:val="bullet"/>
      <w:lvlText w:val=""/>
      <w:lvlJc w:val="start"/>
      <w:pPr>
        <w:tabs>
          <w:tab w:val="num" w:pos="1080"/>
        </w:tabs>
        <w:ind w:start="1008" w:hanging="288"/>
      </w:pPr>
      <w:rPr>
        <w:rFonts w:ascii="Wingdings" w:hAnsi="Wingdings" w:cs="Wingdings" w:hint="default"/>
      </w:rPr>
    </w:lvl>
    <w:lvl w:ilvl="1">
      <w:start w:val="4"/>
      <w:numFmt w:val="decimal"/>
      <w:lvlText w:val="%2."/>
      <w:lvlJc w:val="start"/>
      <w:pPr>
        <w:tabs>
          <w:tab w:val="num" w:pos="360"/>
        </w:tabs>
        <w:ind w:start="288" w:hanging="288"/>
      </w:pPr>
      <w:rPr/>
    </w:lvl>
    <w:lvl w:ilvl="2">
      <w:start w:val="1"/>
      <w:numFmt w:val="bullet"/>
      <w:lvlText w:val=""/>
      <w:lvlJc w:val="start"/>
      <w:pPr>
        <w:tabs>
          <w:tab w:val="num" w:pos="2880"/>
        </w:tabs>
        <w:ind w:start="2808" w:hanging="288"/>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style>
  <w:style w:type="character" w:styleId="WW8Num14z3">
    <w:name w:val="WW8Num14z3"/>
    <w:qFormat/>
    <w:rPr>
      <w:rFonts w:ascii="Symbol" w:hAnsi="Symbol" w:cs="Symbol"/>
    </w:rPr>
  </w:style>
  <w:style w:type="character" w:styleId="WW8Num14z4">
    <w:name w:val="WW8Num14z4"/>
    <w:qFormat/>
    <w:rPr>
      <w:rFonts w:ascii="Courier New" w:hAnsi="Courier New" w:cs="Courier New"/>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i/>
      <w:i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288" w:start="0" w:end="0"/>
    </w:pPr>
    <w:rPr/>
  </w:style>
  <w:style w:type="paragraph" w:styleId="BodyTextIndent2">
    <w:name w:val="Body Text Indent 2"/>
    <w:basedOn w:val="Normal"/>
    <w:qFormat/>
    <w:pPr>
      <w:ind w:firstLine="720" w:start="0" w:end="0"/>
    </w:pPr>
    <w:rPr/>
  </w:style>
  <w:style w:type="paragraph" w:styleId="BodyTextIndent3">
    <w:name w:val="Body Text Indent 3"/>
    <w:basedOn w:val="Normal"/>
    <w:qFormat/>
    <w:pPr>
      <w:ind w:hanging="1440" w:start="1440" w:end="0"/>
    </w:pPr>
    <w:rPr>
      <w:i/>
      <w:i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2000-12-04T18:20:00Z</dcterms:created>
  <dc:creator>jdasovic</dc:creator>
  <dc:description/>
  <dc:language>en-CA</dc:language>
  <cp:lastModifiedBy>jdasovic</cp:lastModifiedBy>
  <cp:lastPrinted>2000-12-04T14:45:00Z</cp:lastPrinted>
  <dcterms:modified xsi:type="dcterms:W3CDTF">2000-12-04T22:19:00Z</dcterms:modified>
  <cp:revision>4</cp:revision>
  <dc:subject/>
  <dc:title>A Common Sense Solution for California’s Electricity Industry</dc:title>
</cp:coreProperties>
</file>