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California Markets Focus Group</w:t>
      </w:r>
      <w:r>
        <mc:AlternateContent>
          <mc:Choice Requires="wps">
            <w:drawing>
              <wp:anchor behindDoc="0" distT="0" distB="0" distL="114935" distR="114935" simplePos="0" locked="0" layoutInCell="1" allowOverlap="1" relativeHeight="2">
                <wp:simplePos x="0" y="0"/>
                <wp:positionH relativeFrom="column">
                  <wp:posOffset>5161915</wp:posOffset>
                </wp:positionH>
                <wp:positionV relativeFrom="paragraph">
                  <wp:posOffset>-644525</wp:posOffset>
                </wp:positionV>
                <wp:extent cx="1197610" cy="283210"/>
                <wp:effectExtent l="0" t="0" r="0" b="0"/>
                <wp:wrapNone/>
                <wp:docPr id="1" name="Frame1"/>
                <a:graphic xmlns:a="http://schemas.openxmlformats.org/drawingml/2006/main">
                  <a:graphicData uri="http://schemas.microsoft.com/office/word/2010/wordprocessingShape">
                    <wps:wsp>
                      <wps:cNvSpPr txBox="1"/>
                      <wps:spPr>
                        <a:xfrm>
                          <a:off x="0" y="0"/>
                          <a:ext cx="1197610" cy="283210"/>
                        </a:xfrm>
                        <a:prstGeom prst="rect"/>
                        <a:solidFill>
                          <a:srgbClr val="FFFFFF"/>
                        </a:solidFill>
                        <a:ln w="9525">
                          <a:solidFill>
                            <a:srgbClr val="000000"/>
                          </a:solidFill>
                        </a:ln>
                      </wps:spPr>
                      <wps:txbx>
                        <w:txbxContent>
                          <w:p>
                            <w:pPr>
                              <w:pStyle w:val="Heading1"/>
                              <w:ind w:hanging="0" w:start="0"/>
                              <w:jc w:val="center"/>
                              <w:rPr/>
                            </w:pPr>
                            <w:r>
                              <w:rPr/>
                              <w:t>Confidential</w:t>
                            </w:r>
                          </w:p>
                        </w:txbxContent>
                      </wps:txbx>
                      <wps:bodyPr anchor="t" lIns="91440" tIns="45720" rIns="91440" bIns="45720">
                        <a:noAutofit/>
                      </wps:bodyPr>
                    </wps:wsp>
                  </a:graphicData>
                </a:graphic>
              </wp:anchor>
            </w:drawing>
          </mc:Choice>
          <mc:Fallback>
            <w:pict>
              <v:rect fillcolor="#FFFFFF" strokecolor="#000000" strokeweight="0pt" style="position:absolute;rotation:-0;width:94.3pt;height:22.3pt;mso-wrap-distance-left:9.05pt;mso-wrap-distance-right:9.05pt;mso-wrap-distance-top:0pt;mso-wrap-distance-bottom:0pt;margin-top:-50.75pt;mso-position-vertical-relative:text;margin-left:406.45pt;mso-position-horizontal-relative:text">
                <v:textbox>
                  <w:txbxContent>
                    <w:p>
                      <w:pPr>
                        <w:pStyle w:val="Heading1"/>
                        <w:ind w:hanging="0" w:start="0"/>
                        <w:jc w:val="center"/>
                        <w:rPr/>
                      </w:pPr>
                      <w:r>
                        <w:rPr/>
                        <w:t>Confidential</w:t>
                      </w:r>
                    </w:p>
                  </w:txbxContent>
                </v:textbox>
                <w10:wrap type="none"/>
              </v:rect>
            </w:pict>
          </mc:Fallback>
        </mc:AlternateContent>
      </w:r>
    </w:p>
    <w:p>
      <w:pPr>
        <w:pStyle w:val="Heading4"/>
        <w:ind w:hanging="0" w:start="0"/>
        <w:rPr/>
      </w:pPr>
      <w:r>
        <w:rPr/>
        <w:t>December 19, 2000</w:t>
      </w:r>
    </w:p>
    <w:p>
      <w:pPr>
        <w:pStyle w:val="Normal"/>
        <w:jc w:val="center"/>
        <w:rPr>
          <w:b/>
          <w:sz w:val="24"/>
        </w:rPr>
      </w:pPr>
      <w:r>
        <w:rPr>
          <w:b/>
          <w:sz w:val="24"/>
        </w:rPr>
      </w:r>
    </w:p>
    <w:p>
      <w:pPr>
        <w:pStyle w:val="Normal"/>
        <w:rPr>
          <w:b/>
          <w:sz w:val="24"/>
        </w:rPr>
      </w:pPr>
      <w:r>
        <w:rPr>
          <w:b/>
          <w:sz w:val="24"/>
        </w:rPr>
      </w:r>
    </w:p>
    <w:p>
      <w:pPr>
        <w:pStyle w:val="Normal"/>
        <w:rPr>
          <w:b/>
          <w:sz w:val="28"/>
        </w:rPr>
      </w:pPr>
      <w:r>
        <w:rPr>
          <w:b/>
          <w:sz w:val="28"/>
        </w:rPr>
        <w:t>Discussion Topics:</w:t>
      </w:r>
    </w:p>
    <w:p>
      <w:pPr>
        <w:pStyle w:val="Normal"/>
        <w:jc w:val="center"/>
        <w:rPr>
          <w:b/>
          <w:sz w:val="28"/>
        </w:rPr>
      </w:pPr>
      <w:r>
        <w:rPr>
          <w:b/>
          <w:sz w:val="28"/>
        </w:rPr>
      </w:r>
    </w:p>
    <w:p>
      <w:pPr>
        <w:pStyle w:val="Heading1"/>
        <w:ind w:hanging="0" w:start="0"/>
        <w:rPr/>
      </w:pPr>
      <w:r>
        <w:rPr/>
        <w:t>Market Overview – Wholesale</w:t>
        <w:tab/>
        <w:tab/>
        <w:tab/>
        <w:tab/>
        <w:t>Don Black/ D.Benevides</w:t>
      </w:r>
    </w:p>
    <w:p>
      <w:pPr>
        <w:pStyle w:val="Normal"/>
        <w:numPr>
          <w:ilvl w:val="0"/>
          <w:numId w:val="48"/>
        </w:numPr>
        <w:tabs>
          <w:tab w:val="clear" w:pos="720"/>
          <w:tab w:val="left" w:pos="1080" w:leader="none"/>
        </w:tabs>
        <w:ind w:hanging="360" w:start="1080" w:end="0"/>
        <w:rPr>
          <w:b/>
          <w:sz w:val="22"/>
        </w:rPr>
      </w:pPr>
      <w:r>
        <w:rPr>
          <w:b/>
          <w:sz w:val="22"/>
        </w:rPr>
        <w:t>COB</w:t>
      </w:r>
    </w:p>
    <w:p>
      <w:pPr>
        <w:pStyle w:val="Heading1"/>
        <w:numPr>
          <w:ilvl w:val="0"/>
          <w:numId w:val="27"/>
        </w:numPr>
        <w:tabs>
          <w:tab w:val="clear" w:pos="720"/>
          <w:tab w:val="left" w:pos="1080" w:leader="none"/>
        </w:tabs>
        <w:ind w:hanging="360" w:start="1080" w:end="0"/>
        <w:rPr>
          <w:sz w:val="22"/>
        </w:rPr>
      </w:pPr>
      <w:r>
        <w:rPr>
          <w:sz w:val="22"/>
        </w:rPr>
        <w:t>Palo Verde</w:t>
      </w:r>
    </w:p>
    <w:p>
      <w:pPr>
        <w:pStyle w:val="Normal"/>
        <w:rPr>
          <w:sz w:val="24"/>
        </w:rPr>
      </w:pPr>
      <w:r>
        <w:rPr>
          <w:sz w:val="24"/>
        </w:rPr>
      </w:r>
    </w:p>
    <w:p>
      <w:pPr>
        <w:pStyle w:val="Heading1"/>
        <w:ind w:hanging="0" w:start="0"/>
        <w:rPr/>
      </w:pPr>
      <w:r>
        <w:rPr/>
        <w:t xml:space="preserve">Retail Position and Curve Review </w:t>
        <w:tab/>
        <w:tab/>
        <w:tab/>
        <w:tab/>
        <w:t>Scott Stoness</w:t>
      </w:r>
    </w:p>
    <w:p>
      <w:pPr>
        <w:pStyle w:val="Normal"/>
        <w:rPr>
          <w:b/>
        </w:rPr>
      </w:pPr>
      <w:r>
        <w:rPr>
          <w:b/>
        </w:rPr>
      </w:r>
    </w:p>
    <w:p>
      <w:pPr>
        <w:pStyle w:val="Heading2"/>
        <w:ind w:hanging="0" w:start="0"/>
        <w:rPr>
          <w:sz w:val="24"/>
        </w:rPr>
      </w:pPr>
      <w:r>
        <w:rPr>
          <w:sz w:val="24"/>
        </w:rPr>
        <w:t>Position and VAR Discussion</w:t>
        <w:tab/>
        <w:tab/>
        <w:tab/>
        <w:tab/>
        <w:t>Risk Mgmt/ RAC</w:t>
        <w:tab/>
      </w:r>
    </w:p>
    <w:p>
      <w:pPr>
        <w:pStyle w:val="Normal"/>
        <w:numPr>
          <w:ilvl w:val="0"/>
          <w:numId w:val="26"/>
        </w:numPr>
        <w:tabs>
          <w:tab w:val="clear" w:pos="720"/>
          <w:tab w:val="left" w:pos="1080" w:leader="none"/>
        </w:tabs>
        <w:ind w:hanging="360" w:start="1080" w:end="0"/>
        <w:rPr>
          <w:b/>
          <w:sz w:val="22"/>
        </w:rPr>
      </w:pPr>
      <w:r>
        <w:rPr>
          <w:b/>
          <w:sz w:val="22"/>
        </w:rPr>
        <w:t>Determine Sensitivities to Market Change</w:t>
      </w:r>
    </w:p>
    <w:p>
      <w:pPr>
        <w:pStyle w:val="Normal"/>
        <w:rPr>
          <w:b/>
          <w:sz w:val="22"/>
        </w:rPr>
      </w:pPr>
      <w:r>
        <w:rPr>
          <w:b/>
          <w:sz w:val="22"/>
        </w:rPr>
      </w:r>
    </w:p>
    <w:p>
      <w:pPr>
        <w:pStyle w:val="Heading1"/>
        <w:ind w:hanging="0" w:start="0"/>
        <w:rPr/>
      </w:pPr>
      <w:r>
        <w:rPr/>
        <w:t>Credit Monitoring</w:t>
        <w:tab/>
        <w:tab/>
        <w:tab/>
        <w:tab/>
        <w:tab/>
        <w:tab/>
        <w:t>RAC/N. Hong/E. Hughes</w:t>
      </w:r>
    </w:p>
    <w:p>
      <w:pPr>
        <w:pStyle w:val="Normal"/>
        <w:numPr>
          <w:ilvl w:val="0"/>
          <w:numId w:val="43"/>
        </w:numPr>
        <w:tabs>
          <w:tab w:val="clear" w:pos="720"/>
          <w:tab w:val="left" w:pos="1080" w:leader="none"/>
        </w:tabs>
        <w:ind w:hanging="360" w:start="1080" w:end="0"/>
        <w:rPr>
          <w:b/>
          <w:sz w:val="22"/>
        </w:rPr>
      </w:pPr>
      <w:r>
        <w:rPr>
          <w:b/>
          <w:sz w:val="22"/>
        </w:rPr>
        <w:t xml:space="preserve">California Utilities – Exposure by Utility </w:t>
      </w:r>
    </w:p>
    <w:p>
      <w:pPr>
        <w:pStyle w:val="Heading2"/>
        <w:numPr>
          <w:ilvl w:val="0"/>
          <w:numId w:val="34"/>
        </w:numPr>
        <w:tabs>
          <w:tab w:val="clear" w:pos="720"/>
          <w:tab w:val="left" w:pos="1080" w:leader="none"/>
        </w:tabs>
        <w:ind w:hanging="360" w:start="1080" w:end="0"/>
        <w:rPr>
          <w:sz w:val="22"/>
        </w:rPr>
      </w:pPr>
      <w:r>
        <w:rPr>
          <w:sz w:val="22"/>
        </w:rPr>
        <w:t>Other Trading Counterparties</w:t>
      </w:r>
    </w:p>
    <w:p>
      <w:pPr>
        <w:pStyle w:val="Normal"/>
        <w:numPr>
          <w:ilvl w:val="0"/>
          <w:numId w:val="23"/>
        </w:numPr>
        <w:tabs>
          <w:tab w:val="clear" w:pos="720"/>
          <w:tab w:val="left" w:pos="1080" w:leader="none"/>
        </w:tabs>
        <w:ind w:hanging="360" w:start="1080" w:end="0"/>
        <w:rPr>
          <w:b/>
          <w:sz w:val="22"/>
        </w:rPr>
      </w:pPr>
      <w:r>
        <w:rPr>
          <w:b/>
          <w:sz w:val="22"/>
        </w:rPr>
        <w:t>Review of  Exposures with Customers</w:t>
      </w:r>
    </w:p>
    <w:p>
      <w:pPr>
        <w:pStyle w:val="Normal"/>
        <w:numPr>
          <w:ilvl w:val="0"/>
          <w:numId w:val="23"/>
        </w:numPr>
        <w:tabs>
          <w:tab w:val="clear" w:pos="720"/>
          <w:tab w:val="left" w:pos="1080" w:leader="none"/>
        </w:tabs>
        <w:ind w:hanging="360" w:start="1080" w:end="0"/>
        <w:rPr>
          <w:b/>
          <w:sz w:val="22"/>
        </w:rPr>
      </w:pPr>
      <w:r>
        <w:rPr>
          <w:b/>
          <w:sz w:val="22"/>
        </w:rPr>
        <w:t>Understand Credit Provisions in Contracts</w:t>
      </w:r>
    </w:p>
    <w:p>
      <w:pPr>
        <w:pStyle w:val="Normal"/>
        <w:numPr>
          <w:ilvl w:val="0"/>
          <w:numId w:val="23"/>
        </w:numPr>
        <w:tabs>
          <w:tab w:val="clear" w:pos="720"/>
          <w:tab w:val="left" w:pos="1080" w:leader="none"/>
        </w:tabs>
        <w:ind w:hanging="360" w:start="1080" w:end="0"/>
        <w:rPr>
          <w:b/>
          <w:sz w:val="22"/>
        </w:rPr>
      </w:pPr>
      <w:r>
        <w:rPr>
          <w:b/>
          <w:sz w:val="22"/>
        </w:rPr>
        <w:t xml:space="preserve">Aggregation at the Enron Corp level </w:t>
      </w:r>
    </w:p>
    <w:p>
      <w:pPr>
        <w:pStyle w:val="Normal"/>
        <w:rPr>
          <w:b/>
          <w:sz w:val="22"/>
        </w:rPr>
      </w:pPr>
      <w:r>
        <w:rPr>
          <w:b/>
          <w:sz w:val="22"/>
        </w:rPr>
      </w:r>
    </w:p>
    <w:p>
      <w:pPr>
        <w:pStyle w:val="Heading1"/>
        <w:ind w:hanging="0" w:start="0"/>
        <w:rPr/>
      </w:pPr>
      <w:r>
        <w:rPr/>
        <w:t xml:space="preserve">Financial </w:t>
        <w:tab/>
        <w:tab/>
        <w:tab/>
        <w:tab/>
        <w:tab/>
        <w:tab/>
        <w:tab/>
        <w:t>K. Hughes/W. Curry</w:t>
      </w:r>
    </w:p>
    <w:p>
      <w:pPr>
        <w:pStyle w:val="Heading1"/>
        <w:numPr>
          <w:ilvl w:val="0"/>
          <w:numId w:val="17"/>
        </w:numPr>
        <w:tabs>
          <w:tab w:val="clear" w:pos="720"/>
          <w:tab w:val="left" w:pos="1080" w:leader="none"/>
        </w:tabs>
        <w:ind w:hanging="360" w:start="1080" w:end="0"/>
        <w:rPr/>
      </w:pPr>
      <w:r>
        <w:rPr>
          <w:sz w:val="22"/>
        </w:rPr>
        <w:t>External Reporting Information Requirements</w:t>
      </w:r>
    </w:p>
    <w:p>
      <w:pPr>
        <w:pStyle w:val="Heading3"/>
        <w:numPr>
          <w:ilvl w:val="0"/>
          <w:numId w:val="22"/>
        </w:numPr>
        <w:tabs>
          <w:tab w:val="clear" w:pos="720"/>
          <w:tab w:val="left" w:pos="1080" w:leader="none"/>
        </w:tabs>
        <w:ind w:hanging="360" w:start="1080" w:end="0"/>
        <w:rPr/>
      </w:pPr>
      <w:r>
        <w:rPr/>
        <w:t>MTM P&amp;L</w:t>
      </w:r>
    </w:p>
    <w:p>
      <w:pPr>
        <w:pStyle w:val="Normal"/>
        <w:rPr>
          <w:b/>
        </w:rPr>
      </w:pPr>
      <w:r>
        <w:rPr>
          <w:b/>
        </w:rPr>
      </w:r>
    </w:p>
    <w:p>
      <w:pPr>
        <w:pStyle w:val="Heading1"/>
        <w:ind w:hanging="0" w:start="0"/>
        <w:rPr/>
      </w:pPr>
      <w:r>
        <w:rPr/>
        <w:t>Origination/VEG</w:t>
        <w:tab/>
        <w:tab/>
        <w:tab/>
        <w:tab/>
        <w:tab/>
        <w:tab/>
        <w:t>E. Melvin/G. Muench</w:t>
      </w:r>
    </w:p>
    <w:p>
      <w:pPr>
        <w:pStyle w:val="Normal"/>
        <w:numPr>
          <w:ilvl w:val="0"/>
          <w:numId w:val="36"/>
        </w:numPr>
        <w:tabs>
          <w:tab w:val="clear" w:pos="720"/>
          <w:tab w:val="left" w:pos="1080" w:leader="none"/>
        </w:tabs>
        <w:ind w:hanging="360" w:start="1080" w:end="0"/>
        <w:rPr>
          <w:b/>
          <w:sz w:val="22"/>
        </w:rPr>
      </w:pPr>
      <w:r>
        <w:rPr>
          <w:b/>
          <w:sz w:val="22"/>
        </w:rPr>
        <w:t>Impact on Deals in Pipeline</w:t>
      </w:r>
    </w:p>
    <w:p>
      <w:pPr>
        <w:pStyle w:val="Normal"/>
        <w:numPr>
          <w:ilvl w:val="0"/>
          <w:numId w:val="36"/>
        </w:numPr>
        <w:tabs>
          <w:tab w:val="clear" w:pos="720"/>
          <w:tab w:val="left" w:pos="1080" w:leader="none"/>
        </w:tabs>
        <w:ind w:hanging="360" w:start="1080" w:end="0"/>
        <w:rPr>
          <w:b/>
          <w:sz w:val="22"/>
        </w:rPr>
      </w:pPr>
      <w:r>
        <w:rPr>
          <w:b/>
          <w:sz w:val="22"/>
        </w:rPr>
        <w:t>Other</w:t>
      </w:r>
    </w:p>
    <w:p>
      <w:pPr>
        <w:pStyle w:val="Normal"/>
        <w:rPr>
          <w:b/>
          <w:sz w:val="22"/>
        </w:rPr>
      </w:pPr>
      <w:r>
        <w:rPr>
          <w:b/>
          <w:sz w:val="22"/>
        </w:rPr>
      </w:r>
    </w:p>
    <w:p>
      <w:pPr>
        <w:pStyle w:val="Heading3"/>
        <w:ind w:hanging="0" w:start="0"/>
        <w:rPr>
          <w:sz w:val="24"/>
        </w:rPr>
      </w:pPr>
      <w:r>
        <w:rPr>
          <w:sz w:val="24"/>
        </w:rPr>
        <w:t>EAM</w:t>
        <w:tab/>
        <w:tab/>
        <w:tab/>
        <w:tab/>
        <w:tab/>
        <w:tab/>
        <w:tab/>
        <w:tab/>
        <w:t>D. Roberts/M. Eggleston</w:t>
      </w:r>
    </w:p>
    <w:p>
      <w:pPr>
        <w:pStyle w:val="Normal"/>
        <w:numPr>
          <w:ilvl w:val="0"/>
          <w:numId w:val="13"/>
        </w:numPr>
        <w:tabs>
          <w:tab w:val="clear" w:pos="720"/>
          <w:tab w:val="left" w:pos="1080" w:leader="none"/>
        </w:tabs>
        <w:ind w:hanging="360" w:start="1080" w:end="0"/>
        <w:rPr>
          <w:b/>
          <w:sz w:val="22"/>
        </w:rPr>
      </w:pPr>
      <w:r>
        <w:rPr>
          <w:b/>
          <w:sz w:val="22"/>
        </w:rPr>
        <w:t>Value Change in EAM option portfolio</w:t>
      </w:r>
    </w:p>
    <w:p>
      <w:pPr>
        <w:pStyle w:val="Normal"/>
        <w:rPr>
          <w:b/>
          <w:sz w:val="22"/>
        </w:rPr>
      </w:pPr>
      <w:r>
        <w:rPr>
          <w:b/>
          <w:sz w:val="22"/>
        </w:rPr>
      </w:r>
    </w:p>
    <w:p>
      <w:pPr>
        <w:pStyle w:val="Heading1"/>
        <w:ind w:hanging="0" w:start="0"/>
        <w:rPr/>
      </w:pPr>
      <w:r>
        <w:rPr/>
        <w:t>Regulatory Affairs</w:t>
        <w:tab/>
        <w:tab/>
        <w:tab/>
        <w:tab/>
        <w:tab/>
        <w:tab/>
        <w:t>Jeff Dasovich/Scott Stoness</w:t>
      </w:r>
    </w:p>
    <w:p>
      <w:pPr>
        <w:pStyle w:val="Normal"/>
        <w:numPr>
          <w:ilvl w:val="0"/>
          <w:numId w:val="47"/>
        </w:numPr>
        <w:tabs>
          <w:tab w:val="clear" w:pos="720"/>
          <w:tab w:val="left" w:pos="1080" w:leader="none"/>
        </w:tabs>
        <w:ind w:hanging="360" w:start="1080" w:end="0"/>
        <w:rPr>
          <w:b/>
          <w:sz w:val="22"/>
        </w:rPr>
      </w:pPr>
      <w:r>
        <w:rPr>
          <w:b/>
          <w:sz w:val="22"/>
        </w:rPr>
        <w:t>Current rate filings by the California Utilities</w:t>
      </w:r>
    </w:p>
    <w:p>
      <w:pPr>
        <w:pStyle w:val="Normal"/>
        <w:numPr>
          <w:ilvl w:val="0"/>
          <w:numId w:val="50"/>
        </w:numPr>
        <w:tabs>
          <w:tab w:val="clear" w:pos="720"/>
          <w:tab w:val="left" w:pos="1080" w:leader="none"/>
        </w:tabs>
        <w:ind w:hanging="360" w:start="1080" w:end="0"/>
        <w:rPr>
          <w:b/>
          <w:sz w:val="22"/>
        </w:rPr>
      </w:pPr>
      <w:r>
        <w:rPr>
          <w:b/>
          <w:sz w:val="22"/>
        </w:rPr>
        <w:t>What actions does Enron what to take</w:t>
      </w:r>
    </w:p>
    <w:p>
      <w:pPr>
        <w:pStyle w:val="Normal"/>
        <w:numPr>
          <w:ilvl w:val="0"/>
          <w:numId w:val="50"/>
        </w:numPr>
        <w:tabs>
          <w:tab w:val="clear" w:pos="720"/>
          <w:tab w:val="left" w:pos="1080" w:leader="none"/>
        </w:tabs>
        <w:ind w:hanging="360" w:start="1080" w:end="0"/>
        <w:rPr>
          <w:b/>
          <w:sz w:val="22"/>
        </w:rPr>
      </w:pPr>
      <w:r>
        <w:rPr>
          <w:b/>
          <w:sz w:val="22"/>
        </w:rPr>
        <w:t>Ways to mitigate exposure</w:t>
      </w:r>
    </w:p>
    <w:p>
      <w:pPr>
        <w:pStyle w:val="Normal"/>
        <w:rPr>
          <w:b/>
          <w:sz w:val="22"/>
        </w:rPr>
      </w:pPr>
      <w:r>
        <w:rPr>
          <w:b/>
          <w:sz w:val="22"/>
        </w:rPr>
      </w:r>
    </w:p>
    <w:p>
      <w:pPr>
        <w:pStyle w:val="Normal"/>
        <w:numPr>
          <w:ilvl w:val="0"/>
          <w:numId w:val="25"/>
        </w:numPr>
        <w:rPr>
          <w:b/>
          <w:sz w:val="22"/>
        </w:rPr>
      </w:pPr>
      <w:r>
        <w:rPr>
          <w:b/>
          <w:sz w:val="24"/>
        </w:rPr>
        <w:t>Legal</w:t>
      </w:r>
      <w:r>
        <w:rPr>
          <w:b/>
          <w:sz w:val="22"/>
        </w:rPr>
        <w:tab/>
        <w:tab/>
        <w:tab/>
        <w:tab/>
        <w:tab/>
        <w:tab/>
        <w:tab/>
        <w:t>Vicky Sharp</w:t>
      </w:r>
    </w:p>
    <w:p>
      <w:pPr>
        <w:pStyle w:val="Normal"/>
        <w:numPr>
          <w:ilvl w:val="0"/>
          <w:numId w:val="8"/>
        </w:numPr>
        <w:tabs>
          <w:tab w:val="left" w:pos="720" w:leader="none"/>
        </w:tabs>
        <w:ind w:hanging="360" w:start="720" w:end="0"/>
        <w:rPr>
          <w:b/>
          <w:sz w:val="22"/>
        </w:rPr>
      </w:pPr>
      <w:r>
        <w:rPr>
          <w:b/>
          <w:sz w:val="22"/>
        </w:rPr>
        <w:t>Monitor litigation in California</w:t>
      </w:r>
    </w:p>
    <w:p>
      <w:pPr>
        <w:pStyle w:val="Normal"/>
        <w:numPr>
          <w:ilvl w:val="0"/>
          <w:numId w:val="8"/>
        </w:numPr>
        <w:tabs>
          <w:tab w:val="left" w:pos="720" w:leader="none"/>
        </w:tabs>
        <w:ind w:hanging="360" w:start="720" w:end="0"/>
        <w:rPr>
          <w:b/>
        </w:rPr>
      </w:pPr>
      <w:r>
        <w:rPr>
          <w:b/>
          <w:sz w:val="22"/>
        </w:rPr>
        <w:t>Review contract language</w:t>
      </w:r>
    </w:p>
    <w:p>
      <w:pPr>
        <w:pStyle w:val="Normal"/>
        <w:rPr>
          <w:b/>
          <w:sz w:val="22"/>
        </w:rPr>
      </w:pPr>
      <w:r>
        <w:rPr>
          <w:b/>
          <w:sz w:val="22"/>
        </w:rPr>
      </w:r>
    </w:p>
    <w:p>
      <w:pPr>
        <w:pStyle w:val="Normal"/>
        <w:numPr>
          <w:ilvl w:val="0"/>
          <w:numId w:val="25"/>
        </w:numPr>
        <w:rPr>
          <w:b/>
          <w:sz w:val="22"/>
        </w:rPr>
      </w:pPr>
      <w:r>
        <w:rPr>
          <w:b/>
          <w:sz w:val="24"/>
        </w:rPr>
        <w:t>Other Suggestions</w:t>
      </w:r>
      <w:r>
        <w:rPr>
          <w:b/>
          <w:sz w:val="22"/>
        </w:rPr>
        <w:tab/>
        <w:tab/>
        <w:tab/>
        <w:tab/>
        <w:tab/>
        <w:t>Dennis Benevides</w:t>
      </w:r>
    </w:p>
    <w:p>
      <w:pPr>
        <w:pStyle w:val="Normal"/>
        <w:numPr>
          <w:ilvl w:val="0"/>
          <w:numId w:val="30"/>
        </w:numPr>
        <w:tabs>
          <w:tab w:val="left" w:pos="720" w:leader="none"/>
        </w:tabs>
        <w:ind w:hanging="360" w:start="720" w:end="0"/>
        <w:rPr>
          <w:b/>
          <w:sz w:val="22"/>
        </w:rPr>
      </w:pPr>
      <w:r>
        <w:rPr>
          <w:b/>
          <w:sz w:val="22"/>
        </w:rPr>
        <w:t>Fully explore opportunities to increase physical imports into California</w:t>
      </w:r>
    </w:p>
    <w:p>
      <w:pPr>
        <w:pStyle w:val="Normal"/>
        <w:numPr>
          <w:ilvl w:val="0"/>
          <w:numId w:val="41"/>
        </w:numPr>
        <w:tabs>
          <w:tab w:val="clear" w:pos="720"/>
          <w:tab w:val="left" w:pos="1080" w:leader="none"/>
        </w:tabs>
        <w:ind w:hanging="360" w:start="1080" w:end="0"/>
        <w:rPr>
          <w:b/>
          <w:sz w:val="22"/>
        </w:rPr>
      </w:pPr>
      <w:r>
        <w:rPr>
          <w:b/>
          <w:sz w:val="22"/>
        </w:rPr>
        <w:t>Dennis to coordinate with Tim Belton re Transmission constraints</w:t>
      </w:r>
    </w:p>
    <w:p>
      <w:pPr>
        <w:pStyle w:val="Normal"/>
        <w:numPr>
          <w:ilvl w:val="0"/>
          <w:numId w:val="41"/>
        </w:numPr>
        <w:tabs>
          <w:tab w:val="clear" w:pos="720"/>
          <w:tab w:val="left" w:pos="1080" w:leader="none"/>
        </w:tabs>
        <w:ind w:hanging="360" w:start="1080" w:end="0"/>
        <w:rPr>
          <w:b/>
          <w:sz w:val="22"/>
        </w:rPr>
      </w:pPr>
      <w:r>
        <w:rPr>
          <w:b/>
          <w:sz w:val="22"/>
        </w:rPr>
        <w:t>Ability to ease emission restrictions</w:t>
      </w:r>
    </w:p>
    <w:p>
      <w:pPr>
        <w:pStyle w:val="Normal"/>
        <w:numPr>
          <w:ilvl w:val="0"/>
          <w:numId w:val="41"/>
        </w:numPr>
        <w:tabs>
          <w:tab w:val="clear" w:pos="720"/>
          <w:tab w:val="left" w:pos="1080" w:leader="none"/>
        </w:tabs>
        <w:ind w:hanging="360" w:start="1080" w:end="0"/>
        <w:rPr>
          <w:b/>
          <w:sz w:val="22"/>
        </w:rPr>
      </w:pPr>
      <w:r>
        <w:rPr>
          <w:b/>
          <w:sz w:val="22"/>
        </w:rPr>
        <w:t xml:space="preserve">Additional generation capacity </w:t>
      </w:r>
    </w:p>
    <w:p>
      <w:pPr>
        <w:pStyle w:val="Normal"/>
        <w:ind w:start="720" w:end="0"/>
        <w:rPr>
          <w:b/>
          <w:color w:val="FF0000"/>
          <w:sz w:val="22"/>
        </w:rPr>
      </w:pPr>
      <w:r>
        <w:rPr>
          <w:b/>
          <w:color w:val="FF0000"/>
          <w:sz w:val="22"/>
        </w:rPr>
      </w:r>
    </w:p>
    <w:p>
      <w:pPr>
        <w:pStyle w:val="Normal"/>
        <w:rPr>
          <w:b/>
          <w:color w:val="FF0000"/>
          <w:sz w:val="22"/>
        </w:rPr>
      </w:pPr>
      <w:r>
        <w:rPr>
          <w:b/>
          <w:color w:val="FF0000"/>
          <w:sz w:val="22"/>
        </w:rPr>
      </w:r>
    </w:p>
    <w:p>
      <w:pPr>
        <w:pStyle w:val="Normal"/>
        <w:rPr>
          <w:b/>
          <w:color w:val="FF0000"/>
          <w:sz w:val="22"/>
        </w:rPr>
      </w:pPr>
      <w:r>
        <w:rPr>
          <w:b/>
          <w:color w:val="FF0000"/>
          <w:sz w:val="22"/>
        </w:rPr>
      </w:r>
    </w:p>
    <w:p>
      <w:pPr>
        <w:pStyle w:val="Heading1"/>
        <w:ind w:hanging="0" w:start="0"/>
        <w:jc w:val="center"/>
        <w:rPr/>
      </w:pPr>
      <w:r>
        <w:rPr/>
        <w:t xml:space="preserve">California Markets Focus Group                  </w:t>
      </w:r>
      <w:r>
        <mc:AlternateContent>
          <mc:Choice Requires="wps">
            <w:drawing>
              <wp:anchor behindDoc="0" distT="0" distB="0" distL="114935" distR="114935" simplePos="0" locked="0" layoutInCell="1" allowOverlap="1" relativeHeight="3">
                <wp:simplePos x="0" y="0"/>
                <wp:positionH relativeFrom="column">
                  <wp:posOffset>5161915</wp:posOffset>
                </wp:positionH>
                <wp:positionV relativeFrom="paragraph">
                  <wp:posOffset>-644525</wp:posOffset>
                </wp:positionV>
                <wp:extent cx="1197610" cy="283210"/>
                <wp:effectExtent l="0" t="0" r="0" b="0"/>
                <wp:wrapNone/>
                <wp:docPr id="2" name="Frame2"/>
                <a:graphic xmlns:a="http://schemas.openxmlformats.org/drawingml/2006/main">
                  <a:graphicData uri="http://schemas.microsoft.com/office/word/2010/wordprocessingShape">
                    <wps:wsp>
                      <wps:cNvSpPr txBox="1"/>
                      <wps:spPr>
                        <a:xfrm>
                          <a:off x="0" y="0"/>
                          <a:ext cx="1197610" cy="283210"/>
                        </a:xfrm>
                        <a:prstGeom prst="rect"/>
                        <a:solidFill>
                          <a:srgbClr val="FFFFFF"/>
                        </a:solidFill>
                        <a:ln w="9525">
                          <a:solidFill>
                            <a:srgbClr val="000000"/>
                          </a:solidFill>
                        </a:ln>
                      </wps:spPr>
                      <wps:txbx>
                        <w:txbxContent>
                          <w:p>
                            <w:pPr>
                              <w:pStyle w:val="Heading1"/>
                              <w:ind w:hanging="0" w:start="0"/>
                              <w:jc w:val="center"/>
                              <w:rPr/>
                            </w:pPr>
                            <w:r>
                              <w:rPr/>
                              <w:t>Confidential</w:t>
                            </w:r>
                          </w:p>
                        </w:txbxContent>
                      </wps:txbx>
                      <wps:bodyPr anchor="t" lIns="91440" tIns="45720" rIns="91440" bIns="45720">
                        <a:noAutofit/>
                      </wps:bodyPr>
                    </wps:wsp>
                  </a:graphicData>
                </a:graphic>
              </wp:anchor>
            </w:drawing>
          </mc:Choice>
          <mc:Fallback>
            <w:pict>
              <v:rect fillcolor="#FFFFFF" strokecolor="#000000" strokeweight="0pt" style="position:absolute;rotation:-0;width:94.3pt;height:22.3pt;mso-wrap-distance-left:9.05pt;mso-wrap-distance-right:9.05pt;mso-wrap-distance-top:0pt;mso-wrap-distance-bottom:0pt;margin-top:-50.75pt;mso-position-vertical-relative:text;margin-left:406.45pt;mso-position-horizontal-relative:text">
                <v:textbox>
                  <w:txbxContent>
                    <w:p>
                      <w:pPr>
                        <w:pStyle w:val="Heading1"/>
                        <w:ind w:hanging="0" w:start="0"/>
                        <w:jc w:val="center"/>
                        <w:rPr/>
                      </w:pPr>
                      <w:r>
                        <w:rPr/>
                        <w:t>Confidential</w:t>
                      </w:r>
                    </w:p>
                  </w:txbxContent>
                </v:textbox>
                <w10:wrap type="none"/>
              </v:rect>
            </w:pict>
          </mc:Fallback>
        </mc:AlternateContent>
      </w:r>
    </w:p>
    <w:p>
      <w:pPr>
        <w:pStyle w:val="Heading4"/>
        <w:ind w:hanging="0" w:start="0"/>
        <w:rPr/>
      </w:pPr>
      <w:r>
        <w:rPr/>
        <w:t>December 19, 2000</w:t>
      </w:r>
    </w:p>
    <w:p>
      <w:pPr>
        <w:pStyle w:val="Normal"/>
        <w:rPr>
          <w:b/>
          <w:sz w:val="28"/>
        </w:rPr>
      </w:pPr>
      <w:r>
        <w:rPr>
          <w:b/>
          <w:sz w:val="28"/>
        </w:rPr>
      </w:r>
    </w:p>
    <w:p>
      <w:pPr>
        <w:pStyle w:val="Normal"/>
        <w:rPr/>
      </w:pPr>
      <w:r>
        <w:rPr>
          <w:b/>
          <w:sz w:val="28"/>
        </w:rPr>
        <w:t>Attending</w:t>
      </w:r>
      <w:r>
        <w:rPr>
          <w:b/>
          <w:sz w:val="24"/>
        </w:rPr>
        <w:t>:</w:t>
      </w:r>
    </w:p>
    <w:p>
      <w:pPr>
        <w:pStyle w:val="Normal"/>
        <w:rPr>
          <w:b/>
          <w:sz w:val="24"/>
        </w:rPr>
      </w:pPr>
      <w:r>
        <w:rPr>
          <w:b/>
          <w:sz w:val="24"/>
        </w:rPr>
      </w:r>
    </w:p>
    <w:p>
      <w:pPr>
        <w:pStyle w:val="Normal"/>
        <w:rPr>
          <w:b/>
          <w:sz w:val="24"/>
        </w:rPr>
      </w:pPr>
      <w:r>
        <w:rPr>
          <w:b/>
          <w:sz w:val="24"/>
        </w:rPr>
        <w:t xml:space="preserve">Wanda Curry </w:t>
        <w:tab/>
        <w:tab/>
        <w:t>713-853-3411</w:t>
        <w:tab/>
        <w:tab/>
        <w:t>Risk Controls &amp; Operations</w:t>
      </w:r>
    </w:p>
    <w:p>
      <w:pPr>
        <w:pStyle w:val="Normal"/>
        <w:rPr>
          <w:b/>
          <w:sz w:val="24"/>
        </w:rPr>
      </w:pPr>
      <w:r>
        <w:rPr>
          <w:b/>
          <w:sz w:val="24"/>
        </w:rPr>
        <w:t xml:space="preserve">Gordan Savage </w:t>
        <w:tab/>
        <w:tab/>
        <w:t>713-345-4166</w:t>
        <w:tab/>
        <w:tab/>
        <w:t>Utility Risk Management</w:t>
      </w:r>
    </w:p>
    <w:p>
      <w:pPr>
        <w:pStyle w:val="Normal"/>
        <w:rPr>
          <w:b/>
          <w:sz w:val="24"/>
        </w:rPr>
      </w:pPr>
      <w:r>
        <w:rPr>
          <w:b/>
          <w:sz w:val="24"/>
        </w:rPr>
        <w:t>Harry Kingerski</w:t>
        <w:tab/>
        <w:tab/>
        <w:t>713-853-5786</w:t>
        <w:tab/>
        <w:tab/>
        <w:t>Governmental Affairs</w:t>
      </w:r>
    </w:p>
    <w:p>
      <w:pPr>
        <w:pStyle w:val="Normal"/>
        <w:rPr>
          <w:b/>
          <w:sz w:val="24"/>
        </w:rPr>
      </w:pPr>
      <w:r>
        <w:rPr>
          <w:b/>
          <w:sz w:val="24"/>
        </w:rPr>
        <w:t>Mike D. Smith</w:t>
        <w:tab/>
        <w:tab/>
        <w:t>713-853-9503</w:t>
        <w:tab/>
        <w:tab/>
        <w:t>Legal</w:t>
      </w:r>
    </w:p>
    <w:p>
      <w:pPr>
        <w:pStyle w:val="Normal"/>
        <w:rPr>
          <w:b/>
          <w:sz w:val="24"/>
        </w:rPr>
      </w:pPr>
      <w:r>
        <w:rPr>
          <w:b/>
          <w:sz w:val="24"/>
        </w:rPr>
        <w:t>Neil Hong</w:t>
        <w:tab/>
        <w:tab/>
        <w:tab/>
        <w:t>713-853-9526</w:t>
        <w:tab/>
        <w:tab/>
        <w:t>Risk Control &amp; Operations</w:t>
      </w:r>
    </w:p>
    <w:p>
      <w:pPr>
        <w:pStyle w:val="Heading1"/>
        <w:ind w:hanging="0" w:start="0"/>
        <w:rPr>
          <w:b w:val="false"/>
        </w:rPr>
      </w:pPr>
      <w:r>
        <w:rPr/>
        <w:t xml:space="preserve">Neil Bresnan </w:t>
        <w:tab/>
        <w:tab/>
        <w:tab/>
        <w:t>713-853-3113</w:t>
        <w:tab/>
        <w:tab/>
        <w:t>Commodity Risk Management</w:t>
      </w:r>
    </w:p>
    <w:p>
      <w:pPr>
        <w:pStyle w:val="Normal"/>
        <w:rPr>
          <w:b/>
          <w:sz w:val="24"/>
        </w:rPr>
      </w:pPr>
      <w:r>
        <w:rPr>
          <w:b/>
          <w:sz w:val="24"/>
        </w:rPr>
        <w:t>Jeff Dasovich</w:t>
        <w:tab/>
        <w:t>(Phone)</w:t>
        <w:tab/>
        <w:t>415-782-7822</w:t>
        <w:tab/>
        <w:tab/>
        <w:t>Governmental Affairs</w:t>
      </w:r>
    </w:p>
    <w:p>
      <w:pPr>
        <w:pStyle w:val="Normal"/>
        <w:rPr>
          <w:b/>
          <w:sz w:val="24"/>
        </w:rPr>
      </w:pPr>
      <w:r>
        <w:rPr>
          <w:b/>
          <w:sz w:val="24"/>
        </w:rPr>
        <w:t>Don Black</w:t>
        <w:tab/>
        <w:tab/>
        <w:tab/>
        <w:t>713-345-4441</w:t>
        <w:tab/>
        <w:tab/>
        <w:t>Commodity Risk Management</w:t>
      </w:r>
    </w:p>
    <w:p>
      <w:pPr>
        <w:pStyle w:val="Heading1"/>
        <w:ind w:hanging="0" w:start="0"/>
        <w:rPr>
          <w:b w:val="false"/>
          <w:sz w:val="22"/>
        </w:rPr>
      </w:pPr>
      <w:r>
        <w:rPr/>
        <w:t>Roger Yang (Phone)</w:t>
        <w:tab/>
        <w:tab/>
        <w:t>415-782-7836</w:t>
        <w:tab/>
        <w:tab/>
        <w:t>Utility Risk Management</w:t>
      </w:r>
    </w:p>
    <w:p>
      <w:pPr>
        <w:pStyle w:val="Normal"/>
        <w:rPr>
          <w:b/>
          <w:sz w:val="24"/>
        </w:rPr>
      </w:pPr>
      <w:r>
        <w:rPr>
          <w:b/>
          <w:sz w:val="24"/>
        </w:rPr>
        <w:t>Scott Stoness</w:t>
        <w:tab/>
        <w:tab/>
        <w:tab/>
        <w:t>713-853-6372</w:t>
        <w:tab/>
        <w:tab/>
        <w:t>Utility Risk Management</w:t>
      </w:r>
    </w:p>
    <w:p>
      <w:pPr>
        <w:pStyle w:val="Heading1"/>
        <w:ind w:hanging="0" w:start="0"/>
        <w:rPr>
          <w:b w:val="false"/>
        </w:rPr>
      </w:pPr>
      <w:r>
        <w:rPr/>
        <w:t>William S. Bradford</w:t>
        <w:tab/>
        <w:tab/>
        <w:t>713-853-3831</w:t>
        <w:tab/>
        <w:tab/>
        <w:t>RAC – Credit</w:t>
      </w:r>
    </w:p>
    <w:p>
      <w:pPr>
        <w:pStyle w:val="Heading1"/>
        <w:ind w:hanging="0" w:start="0"/>
        <w:rPr/>
      </w:pPr>
      <w:r>
        <w:rPr/>
        <w:t xml:space="preserve">Frank Hayden </w:t>
        <w:tab/>
        <w:tab/>
        <w:t>713-345-8341</w:t>
        <w:tab/>
        <w:tab/>
        <w:t xml:space="preserve">RAC </w:t>
      </w:r>
    </w:p>
    <w:p>
      <w:pPr>
        <w:pStyle w:val="Normal"/>
        <w:rPr>
          <w:b/>
          <w:sz w:val="24"/>
        </w:rPr>
      </w:pPr>
      <w:r>
        <w:rPr>
          <w:b/>
          <w:sz w:val="24"/>
        </w:rPr>
        <w:t>Ken Gustafson</w:t>
        <w:tab/>
        <w:tab/>
        <w:t>713-345-8445</w:t>
        <w:tab/>
        <w:tab/>
        <w:t>GNO Commodity Structuring</w:t>
      </w:r>
    </w:p>
    <w:p>
      <w:pPr>
        <w:pStyle w:val="Normal"/>
        <w:rPr>
          <w:b/>
          <w:sz w:val="24"/>
        </w:rPr>
      </w:pPr>
      <w:r>
        <w:rPr>
          <w:b/>
          <w:sz w:val="24"/>
        </w:rPr>
        <w:t>Vicki Sharp</w:t>
        <w:tab/>
        <w:tab/>
        <w:tab/>
        <w:t>713-853-7413</w:t>
        <w:tab/>
        <w:tab/>
        <w:t>Legal</w:t>
      </w:r>
    </w:p>
    <w:p>
      <w:pPr>
        <w:pStyle w:val="Normal"/>
        <w:rPr>
          <w:b/>
          <w:sz w:val="24"/>
        </w:rPr>
      </w:pPr>
      <w:r>
        <w:rPr>
          <w:b/>
          <w:sz w:val="24"/>
        </w:rPr>
        <w:t xml:space="preserve">Wendy Conwell </w:t>
        <w:tab/>
        <w:tab/>
        <w:t>713-853-0699</w:t>
        <w:tab/>
        <w:tab/>
        <w:t>RAC</w:t>
      </w:r>
    </w:p>
    <w:p>
      <w:pPr>
        <w:pStyle w:val="Normal"/>
        <w:rPr>
          <w:b/>
          <w:sz w:val="24"/>
        </w:rPr>
      </w:pPr>
      <w:r>
        <w:rPr>
          <w:b/>
          <w:sz w:val="24"/>
        </w:rPr>
        <w:t xml:space="preserve">Minal Dalia </w:t>
        <w:tab/>
        <w:tab/>
        <w:tab/>
        <w:t>713-853-5289</w:t>
        <w:tab/>
        <w:tab/>
        <w:t xml:space="preserve">RAC </w:t>
      </w:r>
    </w:p>
    <w:p>
      <w:pPr>
        <w:pStyle w:val="Normal"/>
        <w:rPr>
          <w:b/>
          <w:sz w:val="24"/>
        </w:rPr>
      </w:pPr>
      <w:r>
        <w:rPr>
          <w:b/>
          <w:sz w:val="24"/>
        </w:rPr>
        <w:t>Paul Smith</w:t>
        <w:tab/>
        <w:tab/>
        <w:tab/>
        <w:t>713-345-7836</w:t>
        <w:tab/>
        <w:tab/>
        <w:t>VEG</w:t>
      </w:r>
    </w:p>
    <w:p>
      <w:pPr>
        <w:pStyle w:val="Normal"/>
        <w:rPr>
          <w:b/>
          <w:sz w:val="24"/>
        </w:rPr>
      </w:pPr>
      <w:r>
        <w:rPr>
          <w:b/>
          <w:sz w:val="24"/>
        </w:rPr>
      </w:r>
    </w:p>
    <w:p>
      <w:pPr>
        <w:pStyle w:val="Normal"/>
        <w:rPr>
          <w:b/>
          <w:sz w:val="24"/>
        </w:rPr>
      </w:pPr>
      <w:r>
        <w:rPr>
          <w:b/>
          <w:sz w:val="24"/>
        </w:rPr>
      </w:r>
    </w:p>
    <w:p>
      <w:pPr>
        <w:pStyle w:val="Normal"/>
        <w:rPr/>
      </w:pPr>
      <w:r>
        <w:rPr>
          <w:b/>
          <w:sz w:val="28"/>
        </w:rPr>
        <w:t>Not Attending</w:t>
      </w:r>
      <w:r>
        <w:rPr>
          <w:b/>
          <w:sz w:val="24"/>
        </w:rPr>
        <w:t>:</w:t>
      </w:r>
    </w:p>
    <w:p>
      <w:pPr>
        <w:pStyle w:val="Normal"/>
        <w:rPr>
          <w:b/>
          <w:sz w:val="24"/>
        </w:rPr>
      </w:pPr>
      <w:r>
        <w:rPr>
          <w:b/>
          <w:sz w:val="24"/>
        </w:rPr>
      </w:r>
    </w:p>
    <w:p>
      <w:pPr>
        <w:pStyle w:val="Normal"/>
        <w:rPr>
          <w:b/>
          <w:sz w:val="24"/>
        </w:rPr>
      </w:pPr>
      <w:r>
        <w:rPr>
          <w:b/>
          <w:sz w:val="24"/>
        </w:rPr>
        <w:t>James W Lewis</w:t>
        <w:tab/>
        <w:tab/>
        <w:tab/>
        <w:tab/>
        <w:tab/>
        <w:t>Commodity Risk Management</w:t>
      </w:r>
    </w:p>
    <w:p>
      <w:pPr>
        <w:pStyle w:val="Normal"/>
        <w:rPr>
          <w:b/>
          <w:sz w:val="24"/>
        </w:rPr>
      </w:pPr>
      <w:r>
        <w:rPr>
          <w:b/>
          <w:sz w:val="24"/>
        </w:rPr>
        <w:t>Tony Spruiell</w:t>
        <w:tab/>
        <w:tab/>
        <w:tab/>
        <w:tab/>
        <w:tab/>
        <w:tab/>
        <w:t>Risk Management</w:t>
      </w:r>
    </w:p>
    <w:p>
      <w:pPr>
        <w:pStyle w:val="Heading1"/>
        <w:ind w:hanging="0" w:start="0"/>
        <w:rPr/>
      </w:pPr>
      <w:r>
        <w:rPr/>
        <w:t>Vladimir Gorny</w:t>
        <w:tab/>
        <w:tab/>
        <w:tab/>
        <w:tab/>
        <w:tab/>
        <w:t>RAC</w:t>
      </w:r>
    </w:p>
    <w:p>
      <w:pPr>
        <w:pStyle w:val="Normal"/>
        <w:rPr>
          <w:b/>
          <w:sz w:val="24"/>
        </w:rPr>
      </w:pPr>
      <w:r>
        <w:rPr>
          <w:b/>
          <w:sz w:val="24"/>
        </w:rPr>
        <w:t>Eric Melvin</w:t>
        <w:tab/>
        <w:tab/>
        <w:tab/>
        <w:tab/>
        <w:tab/>
        <w:tab/>
        <w:t>VEG</w:t>
        <w:tab/>
      </w:r>
    </w:p>
    <w:p>
      <w:pPr>
        <w:pStyle w:val="Normal"/>
        <w:rPr>
          <w:b/>
          <w:sz w:val="24"/>
        </w:rPr>
      </w:pPr>
      <w:r>
        <w:rPr>
          <w:b/>
          <w:sz w:val="24"/>
        </w:rPr>
        <w:t>Dave Roberts</w:t>
        <w:tab/>
        <w:tab/>
        <w:tab/>
        <w:tab/>
        <w:tab/>
        <w:tab/>
        <w:t>EAM Risk Management</w:t>
      </w:r>
    </w:p>
    <w:p>
      <w:pPr>
        <w:pStyle w:val="Normal"/>
        <w:rPr>
          <w:b/>
          <w:sz w:val="24"/>
        </w:rPr>
      </w:pPr>
      <w:r>
        <w:rPr>
          <w:b/>
          <w:sz w:val="24"/>
        </w:rPr>
        <w:t xml:space="preserve">Meredith Eggleston </w:t>
        <w:tab/>
        <w:tab/>
        <w:t>713-853-3326</w:t>
        <w:tab/>
        <w:tab/>
        <w:t>Risk Controls &amp; Operations</w:t>
      </w:r>
    </w:p>
    <w:p>
      <w:pPr>
        <w:pStyle w:val="Normal"/>
        <w:rPr>
          <w:b/>
          <w:sz w:val="24"/>
        </w:rPr>
      </w:pPr>
      <w:r>
        <w:rPr>
          <w:b/>
          <w:sz w:val="24"/>
        </w:rPr>
        <w:t>Ed Sacks</w:t>
        <w:tab/>
        <w:tab/>
        <w:tab/>
        <w:t>713-345-7712</w:t>
        <w:tab/>
        <w:tab/>
        <w:t>RAC Credit</w:t>
      </w:r>
    </w:p>
    <w:p>
      <w:pPr>
        <w:pStyle w:val="Normal"/>
        <w:rPr>
          <w:b/>
          <w:sz w:val="24"/>
        </w:rPr>
      </w:pPr>
      <w:r>
        <w:rPr>
          <w:b/>
          <w:sz w:val="24"/>
        </w:rPr>
        <w:t xml:space="preserve">Dennis Benevides </w:t>
        <w:tab/>
        <w:tab/>
        <w:t>713-853-9609</w:t>
        <w:tab/>
        <w:tab/>
        <w:t>Commodity Risk Management</w:t>
      </w:r>
    </w:p>
    <w:p>
      <w:pPr>
        <w:pStyle w:val="Normal"/>
        <w:rPr>
          <w:b/>
          <w:sz w:val="22"/>
        </w:rPr>
      </w:pPr>
      <w:r>
        <w:rPr>
          <w:b/>
          <w:sz w:val="24"/>
        </w:rPr>
        <w:t xml:space="preserve">Jess Hewitt </w:t>
        <w:tab/>
        <w:tab/>
        <w:tab/>
        <w:t>713-853-9464</w:t>
        <w:tab/>
        <w:tab/>
        <w:t>Commodity Risk Management</w:t>
      </w:r>
    </w:p>
    <w:p>
      <w:pPr>
        <w:pStyle w:val="Normal"/>
        <w:rPr>
          <w:b/>
          <w:sz w:val="22"/>
        </w:rPr>
      </w:pPr>
      <w:r>
        <w:rPr>
          <w:b/>
          <w:sz w:val="24"/>
        </w:rPr>
        <w:t>Gayle Muench</w:t>
        <w:tab/>
        <w:tab/>
        <w:t>713-853-6825</w:t>
        <w:tab/>
        <w:tab/>
        <w:t>Origination</w:t>
      </w:r>
    </w:p>
    <w:p>
      <w:pPr>
        <w:pStyle w:val="Heading4"/>
        <w:ind w:hanging="0" w:start="0"/>
        <w:jc w:val="start"/>
        <w:rPr/>
      </w:pPr>
      <w:r>
        <w:rPr/>
        <w:t>Evan Hughes</w:t>
        <w:tab/>
        <w:tab/>
        <w:tab/>
        <w:t>713-345-3311</w:t>
        <w:tab/>
        <w:tab/>
        <w:t xml:space="preserve">Risk Controls &amp; Operations </w:t>
      </w:r>
    </w:p>
    <w:p>
      <w:pPr>
        <w:pStyle w:val="Heading4"/>
        <w:ind w:hanging="0" w:start="0"/>
        <w:jc w:val="start"/>
        <w:rPr/>
      </w:pPr>
      <w:r>
        <w:rPr/>
      </w:r>
    </w:p>
    <w:p>
      <w:pPr>
        <w:pStyle w:val="Heading4"/>
        <w:ind w:hanging="0" w:start="0"/>
        <w:jc w:val="start"/>
        <w:rPr/>
      </w:pPr>
      <w:r>
        <w:rPr/>
      </w:r>
    </w:p>
    <w:p>
      <w:pPr>
        <w:pStyle w:val="Heading4"/>
        <w:ind w:hanging="0" w:start="0"/>
        <w:jc w:val="start"/>
        <w:rPr/>
      </w:pPr>
      <w:r>
        <w:rPr/>
      </w:r>
    </w:p>
    <w:p>
      <w:pPr>
        <w:pStyle w:val="Heading4"/>
        <w:ind w:hanging="0" w:start="0"/>
        <w:jc w:val="start"/>
        <w:rPr/>
      </w:pPr>
      <w:r>
        <w:rPr/>
      </w:r>
      <w:r>
        <w:br w:type="page"/>
      </w:r>
    </w:p>
    <w:p>
      <w:pPr>
        <w:pStyle w:val="Heading4"/>
        <w:ind w:hanging="0" w:start="0"/>
        <w:rPr>
          <w:sz w:val="22"/>
        </w:rPr>
      </w:pPr>
      <w:r>
        <w:rPr>
          <w:sz w:val="22"/>
        </w:rPr>
        <w:t>California Markets Focus Group</w:t>
      </w:r>
    </w:p>
    <w:p>
      <w:pPr>
        <w:pStyle w:val="Heading4"/>
        <w:ind w:hanging="0" w:start="0"/>
        <w:rPr>
          <w:sz w:val="22"/>
        </w:rPr>
      </w:pPr>
      <w:r>
        <w:rPr>
          <w:sz w:val="22"/>
        </w:rPr>
        <w:t>December 19, 2000</w:t>
      </w:r>
      <w:r>
        <mc:AlternateContent>
          <mc:Choice Requires="wps">
            <w:drawing>
              <wp:anchor behindDoc="0" distT="0" distB="0" distL="114935" distR="114935" simplePos="0" locked="0" layoutInCell="1" allowOverlap="1" relativeHeight="4">
                <wp:simplePos x="0" y="0"/>
                <wp:positionH relativeFrom="column">
                  <wp:posOffset>5344795</wp:posOffset>
                </wp:positionH>
                <wp:positionV relativeFrom="paragraph">
                  <wp:posOffset>-896620</wp:posOffset>
                </wp:positionV>
                <wp:extent cx="1014730" cy="283210"/>
                <wp:effectExtent l="0" t="0" r="0" b="0"/>
                <wp:wrapNone/>
                <wp:docPr id="3" name="Frame3"/>
                <a:graphic xmlns:a="http://schemas.openxmlformats.org/drawingml/2006/main">
                  <a:graphicData uri="http://schemas.microsoft.com/office/word/2010/wordprocessingShape">
                    <wps:wsp>
                      <wps:cNvSpPr txBox="1"/>
                      <wps:spPr>
                        <a:xfrm>
                          <a:off x="0" y="0"/>
                          <a:ext cx="1014730" cy="283210"/>
                        </a:xfrm>
                        <a:prstGeom prst="rect"/>
                        <a:solidFill>
                          <a:srgbClr val="FFFFFF"/>
                        </a:solidFill>
                        <a:ln w="9525">
                          <a:solidFill>
                            <a:srgbClr val="000000"/>
                          </a:solidFill>
                        </a:ln>
                      </wps:spPr>
                      <wps:txbx>
                        <w:txbxContent>
                          <w:p>
                            <w:pPr>
                              <w:pStyle w:val="Heading4"/>
                              <w:ind w:hanging="0" w:start="0"/>
                              <w:rPr/>
                            </w:pPr>
                            <w:r>
                              <w:rPr/>
                              <w:t>Confidential</w:t>
                            </w:r>
                          </w:p>
                        </w:txbxContent>
                      </wps:txbx>
                      <wps:bodyPr anchor="t" lIns="91440" tIns="45720" rIns="91440" bIns="45720">
                        <a:noAutofit/>
                      </wps:bodyPr>
                    </wps:wsp>
                  </a:graphicData>
                </a:graphic>
              </wp:anchor>
            </w:drawing>
          </mc:Choice>
          <mc:Fallback>
            <w:pict>
              <v:rect fillcolor="#FFFFFF" strokecolor="#000000" strokeweight="0pt" style="position:absolute;rotation:-0;width:79.9pt;height:22.3pt;mso-wrap-distance-left:9.05pt;mso-wrap-distance-right:9.05pt;mso-wrap-distance-top:0pt;mso-wrap-distance-bottom:0pt;margin-top:-70.6pt;mso-position-vertical-relative:text;margin-left:420.85pt;mso-position-horizontal-relative:text">
                <v:textbox>
                  <w:txbxContent>
                    <w:p>
                      <w:pPr>
                        <w:pStyle w:val="Heading4"/>
                        <w:ind w:hanging="0" w:start="0"/>
                        <w:rPr/>
                      </w:pPr>
                      <w:r>
                        <w:rPr/>
                        <w:t>Confidential</w:t>
                      </w:r>
                    </w:p>
                  </w:txbxContent>
                </v:textbox>
                <w10:wrap type="none"/>
              </v:rect>
            </w:pict>
          </mc:Fallback>
        </mc:AlternateContent>
      </w:r>
    </w:p>
    <w:p>
      <w:pPr>
        <w:pStyle w:val="Heading4"/>
        <w:ind w:hanging="0" w:start="0"/>
        <w:rPr>
          <w:sz w:val="22"/>
        </w:rPr>
      </w:pPr>
      <w:r>
        <w:rPr>
          <w:sz w:val="22"/>
        </w:rPr>
        <w:t>Meeting Notes</w:t>
      </w:r>
    </w:p>
    <w:p>
      <w:pPr>
        <w:pStyle w:val="Normal"/>
        <w:jc w:val="center"/>
        <w:rPr>
          <w:b/>
          <w:sz w:val="22"/>
        </w:rPr>
      </w:pPr>
      <w:r>
        <w:rPr>
          <w:b/>
          <w:sz w:val="22"/>
        </w:rPr>
      </w:r>
    </w:p>
    <w:p>
      <w:pPr>
        <w:pStyle w:val="Normal"/>
        <w:jc w:val="center"/>
        <w:rPr>
          <w:b/>
          <w:sz w:val="22"/>
        </w:rPr>
      </w:pPr>
      <w:r>
        <w:rPr>
          <w:b/>
          <w:sz w:val="22"/>
        </w:rPr>
      </w:r>
    </w:p>
    <w:p>
      <w:pPr>
        <w:pStyle w:val="Heading1"/>
        <w:numPr>
          <w:ilvl w:val="0"/>
          <w:numId w:val="45"/>
        </w:numPr>
        <w:rPr>
          <w:sz w:val="22"/>
        </w:rPr>
      </w:pPr>
      <w:r>
        <w:rPr>
          <w:sz w:val="22"/>
        </w:rPr>
        <w:t>Market Overview – Wholesale</w:t>
        <w:tab/>
        <w:tab/>
        <w:tab/>
        <w:tab/>
        <w:t xml:space="preserve"> Dennis Benevides</w:t>
      </w:r>
    </w:p>
    <w:p>
      <w:pPr>
        <w:pStyle w:val="Normal"/>
        <w:numPr>
          <w:ilvl w:val="0"/>
          <w:numId w:val="48"/>
        </w:numPr>
        <w:tabs>
          <w:tab w:val="left" w:pos="720" w:leader="none"/>
        </w:tabs>
        <w:ind w:hanging="360" w:start="720" w:end="0"/>
        <w:rPr>
          <w:b/>
          <w:sz w:val="22"/>
        </w:rPr>
      </w:pPr>
      <w:r>
        <w:rPr>
          <w:b/>
          <w:sz w:val="22"/>
        </w:rPr>
        <w:t>COB</w:t>
      </w:r>
    </w:p>
    <w:p>
      <w:pPr>
        <w:pStyle w:val="Heading1"/>
        <w:numPr>
          <w:ilvl w:val="0"/>
          <w:numId w:val="27"/>
        </w:numPr>
        <w:tabs>
          <w:tab w:val="left" w:pos="720" w:leader="none"/>
        </w:tabs>
        <w:ind w:hanging="360" w:start="720" w:end="0"/>
        <w:rPr>
          <w:sz w:val="22"/>
        </w:rPr>
      </w:pPr>
      <w:r>
        <w:rPr>
          <w:sz w:val="22"/>
        </w:rPr>
        <w:t>Palo Verde</w:t>
      </w:r>
    </w:p>
    <w:p>
      <w:pPr>
        <w:pStyle w:val="Normal"/>
        <w:numPr>
          <w:ilvl w:val="0"/>
          <w:numId w:val="38"/>
        </w:numPr>
        <w:tabs>
          <w:tab w:val="left" w:pos="720" w:leader="none"/>
        </w:tabs>
        <w:ind w:hanging="360" w:start="720" w:end="0"/>
        <w:rPr>
          <w:b/>
          <w:sz w:val="22"/>
        </w:rPr>
      </w:pPr>
      <w:r>
        <w:rPr>
          <w:b/>
          <w:sz w:val="22"/>
        </w:rPr>
        <w:t>Other</w:t>
      </w:r>
    </w:p>
    <w:p>
      <w:pPr>
        <w:pStyle w:val="Normal"/>
        <w:rPr>
          <w:b/>
          <w:sz w:val="22"/>
        </w:rPr>
      </w:pPr>
      <w:r>
        <w:rPr>
          <w:b/>
          <w:sz w:val="22"/>
        </w:rPr>
      </w:r>
    </w:p>
    <w:p>
      <w:pPr>
        <w:pStyle w:val="Normal"/>
        <w:rPr>
          <w:b/>
          <w:color w:val="FF0000"/>
          <w:sz w:val="22"/>
        </w:rPr>
      </w:pPr>
      <w:r>
        <w:rPr>
          <w:b/>
          <w:color w:val="FF0000"/>
          <w:sz w:val="22"/>
        </w:rPr>
        <w:t>Update (no change from 12-18-00):</w:t>
      </w:r>
    </w:p>
    <w:p>
      <w:pPr>
        <w:pStyle w:val="Heading1"/>
        <w:numPr>
          <w:ilvl w:val="0"/>
          <w:numId w:val="24"/>
        </w:numPr>
        <w:rPr>
          <w:color w:val="FF0000"/>
          <w:sz w:val="22"/>
        </w:rPr>
      </w:pPr>
      <w:r>
        <w:rPr>
          <w:color w:val="FF0000"/>
          <w:sz w:val="22"/>
        </w:rPr>
        <w:t>Concern re the lack of liquidity in the term markets remain</w:t>
      </w:r>
    </w:p>
    <w:p>
      <w:pPr>
        <w:pStyle w:val="Heading5"/>
        <w:numPr>
          <w:ilvl w:val="0"/>
          <w:numId w:val="20"/>
        </w:numPr>
        <w:rPr>
          <w:b/>
          <w:sz w:val="22"/>
        </w:rPr>
      </w:pPr>
      <w:r>
        <w:rPr>
          <w:b/>
          <w:sz w:val="22"/>
        </w:rPr>
        <w:t>Began monitoring impact on markets resulting from the FERC announcement  on      Friday</w:t>
      </w:r>
    </w:p>
    <w:p>
      <w:pPr>
        <w:pStyle w:val="Normal"/>
        <w:numPr>
          <w:ilvl w:val="0"/>
          <w:numId w:val="14"/>
        </w:numPr>
        <w:rPr>
          <w:b/>
          <w:color w:val="FF0000"/>
          <w:sz w:val="22"/>
        </w:rPr>
      </w:pPr>
      <w:r>
        <w:rPr>
          <w:b/>
          <w:color w:val="FF0000"/>
          <w:sz w:val="22"/>
        </w:rPr>
        <w:t>Working with ENE to review and understand wholesale curves</w:t>
      </w:r>
    </w:p>
    <w:p>
      <w:pPr>
        <w:pStyle w:val="Normal"/>
        <w:rPr>
          <w:b/>
          <w:color w:val="FF0000"/>
          <w:sz w:val="22"/>
        </w:rPr>
      </w:pPr>
      <w:r>
        <w:rPr>
          <w:b/>
          <w:color w:val="FF0000"/>
          <w:sz w:val="22"/>
        </w:rPr>
      </w:r>
    </w:p>
    <w:p>
      <w:pPr>
        <w:pStyle w:val="Heading1"/>
        <w:numPr>
          <w:ilvl w:val="0"/>
          <w:numId w:val="45"/>
        </w:numPr>
        <w:rPr>
          <w:sz w:val="22"/>
        </w:rPr>
      </w:pPr>
      <w:r>
        <w:rPr>
          <w:sz w:val="22"/>
        </w:rPr>
        <w:t xml:space="preserve">Retail Position and Curve Review </w:t>
        <w:tab/>
        <w:tab/>
        <w:tab/>
        <w:tab/>
        <w:t>Scott Stoness</w:t>
        <w:tab/>
      </w:r>
    </w:p>
    <w:p>
      <w:pPr>
        <w:pStyle w:val="Heading1"/>
        <w:ind w:hanging="0" w:start="0"/>
        <w:rPr>
          <w:sz w:val="22"/>
        </w:rPr>
      </w:pPr>
      <w:r>
        <w:rPr>
          <w:sz w:val="22"/>
        </w:rPr>
        <w:tab/>
      </w:r>
    </w:p>
    <w:p>
      <w:pPr>
        <w:pStyle w:val="Heading1"/>
        <w:ind w:hanging="0" w:start="0"/>
        <w:rPr>
          <w:color w:val="FF0000"/>
          <w:sz w:val="22"/>
        </w:rPr>
      </w:pPr>
      <w:r>
        <w:rPr>
          <w:color w:val="FF0000"/>
          <w:sz w:val="22"/>
        </w:rPr>
        <w:t>Update:</w:t>
      </w:r>
    </w:p>
    <w:p>
      <w:pPr>
        <w:pStyle w:val="BodyText"/>
        <w:rPr/>
      </w:pPr>
      <w:r>
        <w:rPr/>
        <w:t xml:space="preserve">The top five regulatory issues continue to be those listed below.  </w:t>
      </w:r>
      <w:r>
        <w:rPr>
          <w:i/>
        </w:rPr>
        <w:t>Item #3 continues to be a priority as well as following the events leading up to the CPUC meeting scheduled for Thursday, December, 21</w:t>
      </w:r>
      <w:r>
        <w:rPr>
          <w:i/>
          <w:vertAlign w:val="superscript"/>
        </w:rPr>
        <w:t>st</w:t>
      </w:r>
      <w:r>
        <w:rPr>
          <w:i/>
        </w:rPr>
        <w:t>.   Enron/EES has scheduled a senior executive meeting on Thursday, December 21</w:t>
      </w:r>
      <w:r>
        <w:rPr>
          <w:i/>
          <w:vertAlign w:val="superscript"/>
        </w:rPr>
        <w:t>st</w:t>
      </w:r>
      <w:r>
        <w:rPr>
          <w:i/>
        </w:rPr>
        <w:t>, 2000 to review regulatory events to date and develop a strategy re EES’s direct service customers.</w:t>
      </w:r>
      <w:r>
        <w:rPr/>
        <w:t xml:space="preserve">            </w:t>
      </w:r>
    </w:p>
    <w:p>
      <w:pPr>
        <w:pStyle w:val="BodyText"/>
        <w:rPr/>
      </w:pPr>
      <w:r>
        <w:rPr/>
      </w:r>
    </w:p>
    <w:p>
      <w:pPr>
        <w:pStyle w:val="BodyText"/>
        <w:rPr/>
      </w:pPr>
      <w:r>
        <w:rPr/>
        <w:t>The following information is being collected/ prepared:</w:t>
      </w:r>
    </w:p>
    <w:p>
      <w:pPr>
        <w:pStyle w:val="BodyText"/>
        <w:numPr>
          <w:ilvl w:val="0"/>
          <w:numId w:val="4"/>
        </w:numPr>
        <w:rPr/>
      </w:pPr>
      <w:r>
        <w:rPr/>
        <w:t>List of top ten exposures (position size)  by customer in California</w:t>
      </w:r>
    </w:p>
    <w:p>
      <w:pPr>
        <w:pStyle w:val="BodyText"/>
        <w:numPr>
          <w:ilvl w:val="0"/>
          <w:numId w:val="4"/>
        </w:numPr>
        <w:rPr>
          <w:i/>
          <w:i/>
        </w:rPr>
      </w:pPr>
      <w:r>
        <w:rPr>
          <w:i/>
        </w:rPr>
        <w:t>List of outsource customers with locations in California and associated position estimates.</w:t>
      </w:r>
    </w:p>
    <w:p>
      <w:pPr>
        <w:pStyle w:val="BodyText"/>
        <w:numPr>
          <w:ilvl w:val="0"/>
          <w:numId w:val="4"/>
        </w:numPr>
        <w:rPr>
          <w:i/>
          <w:i/>
        </w:rPr>
      </w:pPr>
      <w:r>
        <w:rPr>
          <w:i/>
        </w:rPr>
        <w:t>List of direct service customers in California, by utility if available, and associated position estimates</w:t>
      </w:r>
    </w:p>
    <w:p>
      <w:pPr>
        <w:pStyle w:val="BodyText"/>
        <w:numPr>
          <w:ilvl w:val="0"/>
          <w:numId w:val="4"/>
        </w:numPr>
        <w:rPr/>
      </w:pPr>
      <w:r>
        <w:rPr/>
        <w:t xml:space="preserve">Legal review of contracts </w:t>
      </w:r>
    </w:p>
    <w:p>
      <w:pPr>
        <w:pStyle w:val="Normal"/>
        <w:numPr>
          <w:ilvl w:val="0"/>
          <w:numId w:val="4"/>
        </w:numPr>
        <w:rPr>
          <w:b/>
          <w:color w:val="FF0000"/>
          <w:sz w:val="22"/>
        </w:rPr>
      </w:pPr>
      <w:r>
        <w:rPr>
          <w:b/>
          <w:color w:val="FF0000"/>
          <w:sz w:val="22"/>
        </w:rPr>
        <w:t xml:space="preserve">Determine sensitivity to a $10.00 gap in PX credits and market purchases </w:t>
      </w:r>
    </w:p>
    <w:p>
      <w:pPr>
        <w:pStyle w:val="Normal"/>
        <w:numPr>
          <w:ilvl w:val="0"/>
          <w:numId w:val="4"/>
        </w:numPr>
        <w:rPr>
          <w:b/>
          <w:color w:val="FF0000"/>
          <w:sz w:val="22"/>
        </w:rPr>
      </w:pPr>
      <w:r>
        <w:rPr>
          <w:b/>
          <w:color w:val="FF0000"/>
          <w:sz w:val="22"/>
        </w:rPr>
        <w:t xml:space="preserve">Overall strategy with  FERC, PX, CPUC, , PG&amp;E, and SoCal </w:t>
      </w:r>
    </w:p>
    <w:p>
      <w:pPr>
        <w:pStyle w:val="Normal"/>
        <w:numPr>
          <w:ilvl w:val="0"/>
          <w:numId w:val="4"/>
        </w:numPr>
        <w:rPr>
          <w:b/>
          <w:color w:val="FF0000"/>
          <w:sz w:val="22"/>
        </w:rPr>
      </w:pPr>
      <w:r>
        <w:rPr>
          <w:b/>
          <w:color w:val="FF0000"/>
          <w:sz w:val="22"/>
        </w:rPr>
        <w:t>Continue to quantify impact of different scenarios</w:t>
      </w:r>
    </w:p>
    <w:p>
      <w:pPr>
        <w:pStyle w:val="BodyText"/>
        <w:rPr/>
      </w:pPr>
      <w:r>
        <w:rPr/>
        <w:tab/>
      </w:r>
    </w:p>
    <w:p>
      <w:pPr>
        <w:pStyle w:val="BodyText"/>
        <w:rPr/>
      </w:pPr>
      <w:r>
        <w:rPr/>
        <w:t>The top five regulatory issues/strategies impacting retail curves remain as follows:</w:t>
      </w:r>
    </w:p>
    <w:p>
      <w:pPr>
        <w:pStyle w:val="Normal"/>
        <w:numPr>
          <w:ilvl w:val="0"/>
          <w:numId w:val="49"/>
        </w:numPr>
        <w:rPr>
          <w:b/>
          <w:color w:val="FF0000"/>
          <w:sz w:val="22"/>
        </w:rPr>
      </w:pPr>
      <w:r>
        <w:rPr>
          <w:b/>
          <w:color w:val="FF0000"/>
          <w:sz w:val="22"/>
        </w:rPr>
        <w:t>Need for tariffs to remain frozen until December, 2001</w:t>
      </w:r>
    </w:p>
    <w:p>
      <w:pPr>
        <w:pStyle w:val="Normal"/>
        <w:numPr>
          <w:ilvl w:val="0"/>
          <w:numId w:val="49"/>
        </w:numPr>
        <w:rPr>
          <w:b/>
          <w:color w:val="FF0000"/>
          <w:sz w:val="22"/>
        </w:rPr>
      </w:pPr>
      <w:r>
        <w:rPr>
          <w:b/>
          <w:color w:val="FF0000"/>
          <w:sz w:val="22"/>
        </w:rPr>
        <w:t xml:space="preserve">No rate increase </w:t>
      </w:r>
    </w:p>
    <w:p>
      <w:pPr>
        <w:pStyle w:val="Normal"/>
        <w:numPr>
          <w:ilvl w:val="0"/>
          <w:numId w:val="49"/>
        </w:numPr>
        <w:rPr>
          <w:b/>
          <w:color w:val="FF0000"/>
          <w:sz w:val="22"/>
        </w:rPr>
      </w:pPr>
      <w:r>
        <w:rPr>
          <w:b/>
          <w:color w:val="FF0000"/>
          <w:sz w:val="22"/>
        </w:rPr>
        <w:t>PX credit calculation methodology</w:t>
      </w:r>
    </w:p>
    <w:p>
      <w:pPr>
        <w:pStyle w:val="Normal"/>
        <w:numPr>
          <w:ilvl w:val="0"/>
          <w:numId w:val="49"/>
        </w:numPr>
        <w:rPr>
          <w:b/>
          <w:color w:val="FF0000"/>
          <w:sz w:val="22"/>
        </w:rPr>
      </w:pPr>
      <w:r>
        <w:rPr>
          <w:b/>
          <w:color w:val="FF0000"/>
          <w:sz w:val="22"/>
        </w:rPr>
        <w:t>Mechanism for long-term bail-out of utilities</w:t>
      </w:r>
    </w:p>
    <w:p>
      <w:pPr>
        <w:pStyle w:val="Normal"/>
        <w:numPr>
          <w:ilvl w:val="0"/>
          <w:numId w:val="49"/>
        </w:numPr>
        <w:rPr>
          <w:b/>
          <w:color w:val="FF0000"/>
          <w:sz w:val="22"/>
        </w:rPr>
      </w:pPr>
      <w:r>
        <w:rPr>
          <w:b/>
          <w:color w:val="FF0000"/>
          <w:sz w:val="22"/>
        </w:rPr>
        <w:t>Requirement to obtain any benefits in the short-term and costs over the long term.   Position decreases over time.  Would recommend utilities recovery mechanism to be considered a “tax”.</w:t>
      </w:r>
    </w:p>
    <w:p>
      <w:pPr>
        <w:pStyle w:val="Normal"/>
        <w:rPr>
          <w:b/>
          <w:color w:val="FF0000"/>
          <w:sz w:val="22"/>
        </w:rPr>
      </w:pPr>
      <w:r>
        <w:rPr>
          <w:b/>
          <w:color w:val="FF0000"/>
          <w:sz w:val="22"/>
        </w:rPr>
      </w:r>
    </w:p>
    <w:p>
      <w:pPr>
        <w:pStyle w:val="Normal"/>
        <w:numPr>
          <w:ilvl w:val="0"/>
          <w:numId w:val="45"/>
        </w:numPr>
        <w:rPr>
          <w:b/>
          <w:sz w:val="22"/>
        </w:rPr>
      </w:pPr>
      <w:r>
        <w:rPr>
          <w:b/>
          <w:sz w:val="22"/>
        </w:rPr>
        <w:t>Position and VAR Discussion</w:t>
        <w:tab/>
        <w:tab/>
        <w:tab/>
        <w:tab/>
        <w:t>D. Benevides/ K. Gustafson</w:t>
      </w:r>
    </w:p>
    <w:p>
      <w:pPr>
        <w:pStyle w:val="Normal"/>
        <w:numPr>
          <w:ilvl w:val="0"/>
          <w:numId w:val="32"/>
        </w:numPr>
        <w:rPr>
          <w:b/>
          <w:sz w:val="22"/>
        </w:rPr>
      </w:pPr>
      <w:r>
        <w:rPr>
          <w:b/>
          <w:sz w:val="22"/>
        </w:rPr>
        <w:t>Determine Sensitivities to Market Change</w:t>
      </w:r>
    </w:p>
    <w:p>
      <w:pPr>
        <w:pStyle w:val="Normal"/>
        <w:rPr>
          <w:b/>
          <w:sz w:val="22"/>
        </w:rPr>
      </w:pPr>
      <w:r>
        <w:rPr>
          <w:b/>
          <w:sz w:val="22"/>
        </w:rPr>
      </w:r>
    </w:p>
    <w:p>
      <w:pPr>
        <w:pStyle w:val="Normal"/>
        <w:rPr>
          <w:b/>
          <w:color w:val="FF0000"/>
          <w:sz w:val="22"/>
        </w:rPr>
      </w:pPr>
      <w:r>
        <w:rPr>
          <w:b/>
          <w:color w:val="FF0000"/>
          <w:sz w:val="22"/>
        </w:rPr>
        <w:t>Update:</w:t>
      </w:r>
    </w:p>
    <w:p>
      <w:pPr>
        <w:pStyle w:val="Normal"/>
        <w:numPr>
          <w:ilvl w:val="0"/>
          <w:numId w:val="42"/>
        </w:numPr>
        <w:rPr>
          <w:b/>
          <w:i/>
          <w:i/>
          <w:color w:val="FF0000"/>
          <w:sz w:val="22"/>
        </w:rPr>
      </w:pPr>
      <w:r>
        <w:rPr>
          <w:b/>
          <w:i/>
          <w:color w:val="FF0000"/>
          <w:sz w:val="22"/>
        </w:rPr>
        <w:t>VAR at 12/15/00 around $6.7MM which is under the Temporary VAR Limit of $7MM</w:t>
      </w:r>
    </w:p>
    <w:p>
      <w:pPr>
        <w:pStyle w:val="Normal"/>
        <w:numPr>
          <w:ilvl w:val="0"/>
          <w:numId w:val="42"/>
        </w:numPr>
        <w:rPr>
          <w:b/>
          <w:color w:val="FF0000"/>
          <w:sz w:val="22"/>
        </w:rPr>
      </w:pPr>
      <w:r>
        <w:rPr>
          <w:b/>
          <w:color w:val="FF0000"/>
          <w:sz w:val="22"/>
        </w:rPr>
        <w:t>Temporary VAR Limit has been extended until January 5. 2001</w:t>
      </w:r>
    </w:p>
    <w:p>
      <w:pPr>
        <w:pStyle w:val="Normal"/>
        <w:numPr>
          <w:ilvl w:val="0"/>
          <w:numId w:val="42"/>
        </w:numPr>
        <w:rPr>
          <w:b/>
          <w:color w:val="FF0000"/>
          <w:sz w:val="22"/>
        </w:rPr>
      </w:pPr>
      <w:r>
        <w:rPr>
          <w:b/>
          <w:i/>
          <w:color w:val="FF0000"/>
          <w:sz w:val="22"/>
        </w:rPr>
        <w:t xml:space="preserve">Continue to look for ways to lower VAR to $5MM, but illiquid markets make it a slow process. </w:t>
      </w:r>
    </w:p>
    <w:p>
      <w:pPr>
        <w:pStyle w:val="Normal"/>
        <w:numPr>
          <w:ilvl w:val="0"/>
          <w:numId w:val="16"/>
        </w:numPr>
        <w:rPr>
          <w:b/>
          <w:color w:val="FF0000"/>
          <w:sz w:val="22"/>
        </w:rPr>
      </w:pPr>
      <w:r>
        <w:rPr>
          <w:b/>
          <w:i/>
          <w:color w:val="FF0000"/>
          <w:sz w:val="22"/>
        </w:rPr>
        <w:t>Don spoke with RAC and ENA re the need to have additional VAR available at the time we close the Owens Illinois transaction</w:t>
      </w:r>
      <w:r>
        <w:rPr>
          <w:b/>
          <w:color w:val="FF0000"/>
          <w:sz w:val="22"/>
        </w:rPr>
        <w:t>.</w:t>
      </w:r>
    </w:p>
    <w:p>
      <w:pPr>
        <w:pStyle w:val="Normal"/>
        <w:numPr>
          <w:ilvl w:val="0"/>
          <w:numId w:val="42"/>
        </w:numPr>
        <w:rPr>
          <w:b/>
          <w:color w:val="FF0000"/>
          <w:sz w:val="22"/>
        </w:rPr>
      </w:pPr>
      <w:r>
        <w:rPr>
          <w:b/>
          <w:i/>
          <w:color w:val="FF0000"/>
          <w:sz w:val="22"/>
        </w:rPr>
        <w:t xml:space="preserve">Don Black and Dennis Benevides recommended a California Synthetic Short Position equal to 25% of EES retail load behind PG&amp;E and SCE be booked as of December 20, 2000.    Dennis has documented this and informed RAC.  Neil Hong is working to determine appropriate way to book this position. </w:t>
      </w:r>
    </w:p>
    <w:p>
      <w:pPr>
        <w:pStyle w:val="Normal"/>
        <w:rPr>
          <w:b/>
          <w:color w:val="FF0000"/>
          <w:sz w:val="22"/>
        </w:rPr>
      </w:pPr>
      <w:r>
        <w:rPr>
          <w:b/>
          <w:color w:val="FF0000"/>
          <w:sz w:val="22"/>
        </w:rPr>
      </w:r>
    </w:p>
    <w:p>
      <w:pPr>
        <w:pStyle w:val="Normal"/>
        <w:rPr>
          <w:b/>
          <w:color w:val="FF0000"/>
          <w:sz w:val="22"/>
        </w:rPr>
      </w:pPr>
      <w:r>
        <w:rPr>
          <w:b/>
          <w:color w:val="FF0000"/>
          <w:sz w:val="22"/>
        </w:rPr>
        <w:t>Follow-up:</w:t>
      </w:r>
    </w:p>
    <w:p>
      <w:pPr>
        <w:pStyle w:val="BodyTextIndent"/>
        <w:numPr>
          <w:ilvl w:val="0"/>
          <w:numId w:val="44"/>
        </w:numPr>
        <w:rPr>
          <w:sz w:val="22"/>
        </w:rPr>
      </w:pPr>
      <w:r>
        <w:rPr>
          <w:sz w:val="22"/>
        </w:rPr>
        <w:t xml:space="preserve">The Owens Illinois transaction has a VAR of approximately $3MM VAR.  </w:t>
      </w:r>
    </w:p>
    <w:p>
      <w:pPr>
        <w:pStyle w:val="Normal"/>
        <w:numPr>
          <w:ilvl w:val="0"/>
          <w:numId w:val="44"/>
        </w:numPr>
        <w:rPr>
          <w:b/>
          <w:color w:val="FF0000"/>
          <w:sz w:val="22"/>
        </w:rPr>
      </w:pPr>
      <w:r>
        <w:rPr>
          <w:b/>
          <w:i/>
          <w:color w:val="FF0000"/>
          <w:sz w:val="22"/>
        </w:rPr>
        <w:t>Will need to obtain an additional temporary increase upon closing of 4</w:t>
      </w:r>
      <w:r>
        <w:rPr>
          <w:b/>
          <w:i/>
          <w:color w:val="FF0000"/>
          <w:sz w:val="22"/>
          <w:vertAlign w:val="superscript"/>
        </w:rPr>
        <w:t>th</w:t>
      </w:r>
      <w:r>
        <w:rPr>
          <w:b/>
          <w:i/>
          <w:color w:val="FF0000"/>
          <w:sz w:val="22"/>
        </w:rPr>
        <w:t xml:space="preserve"> quarter transactions.  However, RAC has communicated that Enron’s maximum VAR limit has been fully allocated, and that an increase is not available</w:t>
      </w:r>
      <w:r>
        <w:rPr>
          <w:b/>
          <w:color w:val="FF0000"/>
          <w:sz w:val="22"/>
        </w:rPr>
        <w:t xml:space="preserve">.   </w:t>
      </w:r>
    </w:p>
    <w:p>
      <w:pPr>
        <w:pStyle w:val="Normal"/>
        <w:numPr>
          <w:ilvl w:val="0"/>
          <w:numId w:val="44"/>
        </w:numPr>
        <w:rPr>
          <w:b/>
          <w:color w:val="FF0000"/>
          <w:sz w:val="22"/>
        </w:rPr>
      </w:pPr>
      <w:r>
        <w:rPr>
          <w:b/>
          <w:color w:val="FF0000"/>
          <w:sz w:val="22"/>
        </w:rPr>
        <w:t xml:space="preserve">Need to monitor the VAR associated with Owens Illinois – new pricing scenario under consideration per Ken Gustafson.  </w:t>
      </w:r>
    </w:p>
    <w:p>
      <w:pPr>
        <w:pStyle w:val="Normal"/>
        <w:rPr>
          <w:b/>
          <w:color w:val="FF0000"/>
          <w:sz w:val="22"/>
        </w:rPr>
      </w:pPr>
      <w:r>
        <w:rPr>
          <w:b/>
          <w:color w:val="FF0000"/>
          <w:sz w:val="22"/>
        </w:rPr>
      </w:r>
    </w:p>
    <w:p>
      <w:pPr>
        <w:pStyle w:val="Heading1"/>
        <w:ind w:hanging="0" w:start="0"/>
        <w:rPr>
          <w:sz w:val="22"/>
        </w:rPr>
      </w:pPr>
      <w:r>
        <w:rPr>
          <w:sz w:val="22"/>
        </w:rPr>
        <w:t>4.  Credit Monitoring</w:t>
        <w:tab/>
        <w:tab/>
        <w:tab/>
        <w:tab/>
        <w:tab/>
        <w:tab/>
        <w:t>B. Bradford/Vicki Sharp</w:t>
        <w:tab/>
      </w:r>
    </w:p>
    <w:p>
      <w:pPr>
        <w:pStyle w:val="Normal"/>
        <w:numPr>
          <w:ilvl w:val="0"/>
          <w:numId w:val="43"/>
        </w:numPr>
        <w:tabs>
          <w:tab w:val="left" w:pos="720" w:leader="none"/>
        </w:tabs>
        <w:ind w:hanging="360" w:start="720" w:end="0"/>
        <w:rPr>
          <w:b/>
          <w:sz w:val="22"/>
        </w:rPr>
      </w:pPr>
      <w:r>
        <w:rPr>
          <w:b/>
          <w:sz w:val="22"/>
        </w:rPr>
        <w:t xml:space="preserve">California Utilities – Exposure by Utility </w:t>
      </w:r>
    </w:p>
    <w:p>
      <w:pPr>
        <w:pStyle w:val="Heading2"/>
        <w:numPr>
          <w:ilvl w:val="0"/>
          <w:numId w:val="34"/>
        </w:numPr>
        <w:tabs>
          <w:tab w:val="left" w:pos="720" w:leader="none"/>
        </w:tabs>
        <w:ind w:hanging="360" w:start="720" w:end="0"/>
        <w:rPr>
          <w:sz w:val="22"/>
        </w:rPr>
      </w:pPr>
      <w:r>
        <w:rPr>
          <w:sz w:val="22"/>
        </w:rPr>
        <w:t>Other Trading Counterparties</w:t>
      </w:r>
    </w:p>
    <w:p>
      <w:pPr>
        <w:pStyle w:val="Normal"/>
        <w:numPr>
          <w:ilvl w:val="0"/>
          <w:numId w:val="23"/>
        </w:numPr>
        <w:tabs>
          <w:tab w:val="left" w:pos="720" w:leader="none"/>
        </w:tabs>
        <w:ind w:hanging="360" w:start="720" w:end="0"/>
        <w:rPr>
          <w:b/>
          <w:sz w:val="22"/>
        </w:rPr>
      </w:pPr>
      <w:r>
        <w:rPr>
          <w:b/>
          <w:sz w:val="22"/>
        </w:rPr>
        <w:t>Review of  Exposures with Customers</w:t>
      </w:r>
    </w:p>
    <w:p>
      <w:pPr>
        <w:pStyle w:val="Normal"/>
        <w:numPr>
          <w:ilvl w:val="0"/>
          <w:numId w:val="23"/>
        </w:numPr>
        <w:tabs>
          <w:tab w:val="left" w:pos="720" w:leader="none"/>
        </w:tabs>
        <w:ind w:hanging="360" w:start="720" w:end="0"/>
        <w:rPr>
          <w:b/>
          <w:sz w:val="22"/>
        </w:rPr>
      </w:pPr>
      <w:r>
        <w:rPr>
          <w:b/>
          <w:sz w:val="22"/>
        </w:rPr>
        <w:t>Understand Credit Provisions in Contracts</w:t>
      </w:r>
    </w:p>
    <w:p>
      <w:pPr>
        <w:pStyle w:val="Normal"/>
        <w:numPr>
          <w:ilvl w:val="0"/>
          <w:numId w:val="23"/>
        </w:numPr>
        <w:tabs>
          <w:tab w:val="left" w:pos="720" w:leader="none"/>
        </w:tabs>
        <w:ind w:hanging="360" w:start="720" w:end="0"/>
        <w:rPr>
          <w:b/>
          <w:sz w:val="22"/>
        </w:rPr>
      </w:pPr>
      <w:r>
        <w:rPr>
          <w:b/>
          <w:sz w:val="22"/>
        </w:rPr>
        <w:t xml:space="preserve">Aggregation at the Enron Corp level </w:t>
      </w:r>
    </w:p>
    <w:p>
      <w:pPr>
        <w:pStyle w:val="Normal"/>
        <w:rPr>
          <w:b/>
          <w:sz w:val="22"/>
        </w:rPr>
      </w:pPr>
      <w:r>
        <w:rPr>
          <w:b/>
          <w:sz w:val="22"/>
        </w:rPr>
      </w:r>
    </w:p>
    <w:p>
      <w:pPr>
        <w:pStyle w:val="Normal"/>
        <w:rPr>
          <w:b/>
          <w:color w:val="FF0000"/>
          <w:sz w:val="22"/>
        </w:rPr>
      </w:pPr>
      <w:r>
        <w:rPr>
          <w:b/>
          <w:color w:val="FF0000"/>
          <w:sz w:val="22"/>
        </w:rPr>
        <w:t>Update:</w:t>
      </w:r>
    </w:p>
    <w:p>
      <w:pPr>
        <w:pStyle w:val="Normal"/>
        <w:numPr>
          <w:ilvl w:val="0"/>
          <w:numId w:val="33"/>
        </w:numPr>
        <w:rPr>
          <w:b/>
          <w:color w:val="FF0000"/>
          <w:sz w:val="22"/>
        </w:rPr>
      </w:pPr>
      <w:r>
        <w:rPr>
          <w:b/>
          <w:color w:val="FF0000"/>
          <w:sz w:val="22"/>
        </w:rPr>
        <w:t>Identified the need to monitor credit exposure for California PX and ISO.</w:t>
      </w:r>
    </w:p>
    <w:p>
      <w:pPr>
        <w:pStyle w:val="Normal"/>
        <w:numPr>
          <w:ilvl w:val="0"/>
          <w:numId w:val="46"/>
        </w:numPr>
        <w:tabs>
          <w:tab w:val="left" w:pos="720" w:leader="none"/>
        </w:tabs>
        <w:ind w:hanging="360" w:start="720" w:end="0"/>
        <w:rPr>
          <w:b/>
          <w:color w:val="FF0000"/>
          <w:sz w:val="22"/>
        </w:rPr>
      </w:pPr>
      <w:r>
        <w:rPr>
          <w:b/>
          <w:color w:val="FF0000"/>
          <w:sz w:val="22"/>
        </w:rPr>
        <w:t>Jeff Dasovich will continue to  investigate</w:t>
      </w:r>
    </w:p>
    <w:p>
      <w:pPr>
        <w:pStyle w:val="Normal"/>
        <w:numPr>
          <w:ilvl w:val="0"/>
          <w:numId w:val="35"/>
        </w:numPr>
        <w:tabs>
          <w:tab w:val="left" w:pos="720" w:leader="none"/>
        </w:tabs>
        <w:ind w:hanging="360" w:start="720" w:end="0"/>
        <w:rPr>
          <w:b/>
          <w:color w:val="FF0000"/>
          <w:sz w:val="22"/>
        </w:rPr>
      </w:pPr>
      <w:r>
        <w:rPr>
          <w:b/>
          <w:color w:val="FF0000"/>
          <w:sz w:val="22"/>
        </w:rPr>
        <w:t xml:space="preserve">Credit has concluded that utilities must settling with the PX and ISO as they have the right to allocate non-collected amounts to participants and a notice re this has not been received.   Enron would have the right to collect from the defaulting party, but would hold the risk of not collecting directly.     </w:t>
      </w:r>
    </w:p>
    <w:p>
      <w:pPr>
        <w:pStyle w:val="Normal"/>
        <w:numPr>
          <w:ilvl w:val="0"/>
          <w:numId w:val="33"/>
        </w:numPr>
        <w:rPr>
          <w:b/>
          <w:color w:val="FF0000"/>
          <w:sz w:val="22"/>
        </w:rPr>
      </w:pPr>
      <w:r>
        <w:rPr>
          <w:b/>
          <w:color w:val="FF0000"/>
          <w:sz w:val="22"/>
        </w:rPr>
        <w:t xml:space="preserve">PG&amp;E update – </w:t>
      </w:r>
    </w:p>
    <w:p>
      <w:pPr>
        <w:pStyle w:val="Normal"/>
        <w:numPr>
          <w:ilvl w:val="0"/>
          <w:numId w:val="12"/>
        </w:numPr>
        <w:tabs>
          <w:tab w:val="left" w:pos="720" w:leader="none"/>
        </w:tabs>
        <w:ind w:hanging="360" w:start="720" w:end="0"/>
        <w:rPr>
          <w:b/>
          <w:color w:val="FF0000"/>
          <w:sz w:val="22"/>
        </w:rPr>
      </w:pPr>
      <w:r>
        <w:rPr>
          <w:b/>
          <w:color w:val="FF0000"/>
          <w:sz w:val="22"/>
        </w:rPr>
        <w:t xml:space="preserve">Expecting approximately $124MM by 12/21/00 for PX credits.  Payment expected on Friday, December 15, 2000 and Monday, December 18, 2000 were not received.  </w:t>
      </w:r>
    </w:p>
    <w:p>
      <w:pPr>
        <w:pStyle w:val="Normal"/>
        <w:numPr>
          <w:ilvl w:val="0"/>
          <w:numId w:val="12"/>
        </w:numPr>
        <w:tabs>
          <w:tab w:val="left" w:pos="720" w:leader="none"/>
        </w:tabs>
        <w:ind w:hanging="360" w:start="720" w:end="0"/>
        <w:rPr>
          <w:b/>
          <w:i/>
          <w:i/>
          <w:color w:val="FF0000"/>
          <w:sz w:val="22"/>
        </w:rPr>
      </w:pPr>
      <w:r>
        <w:rPr>
          <w:b/>
          <w:i/>
          <w:color w:val="FF0000"/>
          <w:sz w:val="22"/>
        </w:rPr>
        <w:t>The demand letter to PG&amp;E was not sent today.  Instead, a call with the PG&amp;E’s General Counsel is to take place around 8:00 p.m. December 19</w:t>
      </w:r>
      <w:r>
        <w:rPr>
          <w:b/>
          <w:i/>
          <w:color w:val="FF0000"/>
          <w:sz w:val="22"/>
          <w:vertAlign w:val="superscript"/>
        </w:rPr>
        <w:t>th</w:t>
      </w:r>
      <w:r>
        <w:rPr>
          <w:b/>
          <w:i/>
          <w:color w:val="FF0000"/>
          <w:sz w:val="22"/>
        </w:rPr>
        <w:t>.  Bob Williams, Vicki Sharp, outside counsel, governmental affairs, and RAC will discuss legal and regulatory strategy after the call.</w:t>
      </w:r>
    </w:p>
    <w:p>
      <w:pPr>
        <w:pStyle w:val="Normal"/>
        <w:numPr>
          <w:ilvl w:val="0"/>
          <w:numId w:val="3"/>
        </w:numPr>
        <w:tabs>
          <w:tab w:val="left" w:pos="720" w:leader="none"/>
        </w:tabs>
        <w:ind w:hanging="360" w:start="720" w:end="0"/>
        <w:rPr>
          <w:b/>
          <w:color w:val="FF0000"/>
          <w:sz w:val="22"/>
        </w:rPr>
      </w:pPr>
      <w:r>
        <w:rPr>
          <w:b/>
          <w:color w:val="FF0000"/>
          <w:sz w:val="22"/>
        </w:rPr>
        <w:t>EES received a parent company guarantee for $ 375MM for EEMC exposure</w:t>
      </w:r>
    </w:p>
    <w:p>
      <w:pPr>
        <w:pStyle w:val="Normal"/>
        <w:numPr>
          <w:ilvl w:val="0"/>
          <w:numId w:val="40"/>
        </w:numPr>
        <w:tabs>
          <w:tab w:val="left" w:pos="720" w:leader="none"/>
        </w:tabs>
        <w:ind w:hanging="360" w:start="720" w:end="0"/>
        <w:rPr>
          <w:b/>
          <w:i/>
          <w:i/>
          <w:color w:val="FF0000"/>
          <w:sz w:val="22"/>
        </w:rPr>
      </w:pPr>
      <w:r>
        <w:rPr>
          <w:b/>
          <w:i/>
          <w:color w:val="FF0000"/>
          <w:sz w:val="22"/>
        </w:rPr>
        <w:t xml:space="preserve">Meeting held between ENA and EES legal to discuss assignment of the PG&amp;E contract with EEMC.   Determined that no accounting and tax issues exist.  Once Tim Belden and Dennis agree to the assignment and a mirror contract between EES and EPMI is in place, the assignment can take place.  Bill Bradford will also need to get the parent company guarantee referenced above amended to cover EPMI (if assignment language not included). </w:t>
      </w:r>
    </w:p>
    <w:p>
      <w:pPr>
        <w:pStyle w:val="Normal"/>
        <w:numPr>
          <w:ilvl w:val="0"/>
          <w:numId w:val="40"/>
        </w:numPr>
        <w:tabs>
          <w:tab w:val="left" w:pos="720" w:leader="none"/>
        </w:tabs>
        <w:ind w:hanging="360" w:start="720" w:end="0"/>
        <w:rPr>
          <w:b/>
          <w:color w:val="FF0000"/>
          <w:sz w:val="22"/>
        </w:rPr>
      </w:pPr>
      <w:r>
        <w:rPr>
          <w:b/>
          <w:color w:val="FF0000"/>
          <w:sz w:val="22"/>
        </w:rPr>
        <w:t>EES should not be entering into new transactions with PG&amp;E</w:t>
      </w:r>
    </w:p>
    <w:p>
      <w:pPr>
        <w:pStyle w:val="Normal"/>
        <w:numPr>
          <w:ilvl w:val="0"/>
          <w:numId w:val="52"/>
        </w:numPr>
        <w:tabs>
          <w:tab w:val="left" w:pos="720" w:leader="none"/>
        </w:tabs>
        <w:ind w:hanging="360" w:start="720" w:end="0"/>
        <w:rPr>
          <w:b/>
          <w:color w:val="FF0000"/>
          <w:sz w:val="22"/>
        </w:rPr>
      </w:pPr>
      <w:r>
        <w:rPr>
          <w:b/>
          <w:color w:val="FF0000"/>
          <w:sz w:val="22"/>
        </w:rPr>
        <w:t>ENA new transactions should be either short-term (3months) or offsetting positions</w:t>
      </w:r>
    </w:p>
    <w:p>
      <w:pPr>
        <w:pStyle w:val="Normal"/>
        <w:rPr>
          <w:b/>
          <w:color w:val="FF0000"/>
          <w:sz w:val="22"/>
        </w:rPr>
      </w:pPr>
      <w:r>
        <w:rPr>
          <w:b/>
          <w:color w:val="FF0000"/>
          <w:sz w:val="22"/>
        </w:rPr>
      </w:r>
    </w:p>
    <w:p>
      <w:pPr>
        <w:pStyle w:val="Heading6"/>
        <w:ind w:hanging="0" w:start="0"/>
        <w:rPr/>
      </w:pPr>
      <w:r>
        <w:rPr/>
        <w:t>Follow-up:</w:t>
      </w:r>
    </w:p>
    <w:p>
      <w:pPr>
        <w:pStyle w:val="Heading7"/>
        <w:rPr/>
      </w:pPr>
      <w:r>
        <w:rPr/>
        <w:t>Provide analysis and information as identified above</w:t>
      </w:r>
      <w:r>
        <w:br w:type="page"/>
      </w:r>
    </w:p>
    <w:p>
      <w:pPr>
        <w:pStyle w:val="Normal"/>
        <w:rPr>
          <w:b/>
          <w:sz w:val="22"/>
        </w:rPr>
      </w:pPr>
      <w:r>
        <w:rPr>
          <w:b/>
          <w:sz w:val="22"/>
        </w:rPr>
      </w:r>
    </w:p>
    <w:p>
      <w:pPr>
        <w:pStyle w:val="Normal"/>
        <w:rPr>
          <w:b/>
          <w:sz w:val="22"/>
        </w:rPr>
      </w:pPr>
      <w:r>
        <w:rPr>
          <w:b/>
          <w:sz w:val="22"/>
        </w:rPr>
        <w:t xml:space="preserve">5.  Financial </w:t>
        <w:tab/>
        <w:tab/>
        <w:tab/>
        <w:tab/>
        <w:tab/>
        <w:tab/>
        <w:tab/>
        <w:t xml:space="preserve">W. Curry/ K. Hughes </w:t>
      </w:r>
    </w:p>
    <w:p>
      <w:pPr>
        <w:pStyle w:val="Normal"/>
        <w:numPr>
          <w:ilvl w:val="0"/>
          <w:numId w:val="2"/>
        </w:numPr>
        <w:tabs>
          <w:tab w:val="left" w:pos="720" w:leader="none"/>
        </w:tabs>
        <w:ind w:hanging="360" w:start="720" w:end="0"/>
        <w:rPr>
          <w:b/>
          <w:sz w:val="22"/>
        </w:rPr>
      </w:pPr>
      <w:r>
        <w:rPr>
          <w:b/>
          <w:sz w:val="22"/>
        </w:rPr>
        <w:t>External Reporting Information Requirements</w:t>
      </w:r>
    </w:p>
    <w:p>
      <w:pPr>
        <w:pStyle w:val="Normal"/>
        <w:numPr>
          <w:ilvl w:val="0"/>
          <w:numId w:val="2"/>
        </w:numPr>
        <w:tabs>
          <w:tab w:val="left" w:pos="720" w:leader="none"/>
        </w:tabs>
        <w:ind w:hanging="360" w:start="720" w:end="0"/>
        <w:rPr>
          <w:b/>
          <w:sz w:val="22"/>
        </w:rPr>
      </w:pPr>
      <w:r>
        <w:rPr>
          <w:b/>
          <w:sz w:val="22"/>
        </w:rPr>
        <w:t xml:space="preserve">Monitor MTM P&amp;L </w:t>
      </w:r>
    </w:p>
    <w:p>
      <w:pPr>
        <w:pStyle w:val="Normal"/>
        <w:ind w:start="360" w:end="0"/>
        <w:rPr>
          <w:b/>
          <w:sz w:val="22"/>
        </w:rPr>
      </w:pPr>
      <w:r>
        <w:rPr>
          <w:b/>
          <w:sz w:val="22"/>
        </w:rPr>
      </w:r>
    </w:p>
    <w:p>
      <w:pPr>
        <w:pStyle w:val="Normal"/>
        <w:rPr>
          <w:b/>
          <w:color w:val="FF0000"/>
          <w:sz w:val="22"/>
        </w:rPr>
      </w:pPr>
      <w:r>
        <w:rPr>
          <w:b/>
          <w:color w:val="FF0000"/>
          <w:sz w:val="22"/>
        </w:rPr>
        <w:t>Update:</w:t>
      </w:r>
    </w:p>
    <w:p>
      <w:pPr>
        <w:pStyle w:val="Normal"/>
        <w:numPr>
          <w:ilvl w:val="0"/>
          <w:numId w:val="51"/>
        </w:numPr>
        <w:rPr>
          <w:b/>
          <w:color w:val="FF0000"/>
          <w:sz w:val="22"/>
        </w:rPr>
      </w:pPr>
      <w:r>
        <w:rPr>
          <w:b/>
          <w:color w:val="FF0000"/>
          <w:sz w:val="22"/>
        </w:rPr>
        <w:t>Continue to work with CAO to determine requirements for external reporting</w:t>
      </w:r>
    </w:p>
    <w:p>
      <w:pPr>
        <w:pStyle w:val="Normal"/>
        <w:rPr>
          <w:b/>
          <w:color w:val="FF0000"/>
          <w:sz w:val="22"/>
        </w:rPr>
      </w:pPr>
      <w:r>
        <w:rPr>
          <w:b/>
          <w:color w:val="FF0000"/>
          <w:sz w:val="22"/>
        </w:rPr>
      </w:r>
    </w:p>
    <w:p>
      <w:pPr>
        <w:pStyle w:val="Normal"/>
        <w:rPr>
          <w:b/>
          <w:sz w:val="22"/>
        </w:rPr>
      </w:pPr>
      <w:r>
        <w:rPr>
          <w:b/>
          <w:sz w:val="22"/>
        </w:rPr>
        <w:t>6.  Origination/VEG</w:t>
        <w:tab/>
        <w:tab/>
        <w:tab/>
        <w:tab/>
        <w:tab/>
        <w:tab/>
        <w:t>Ken Gustafson</w:t>
      </w:r>
    </w:p>
    <w:p>
      <w:pPr>
        <w:pStyle w:val="Normal"/>
        <w:numPr>
          <w:ilvl w:val="0"/>
          <w:numId w:val="37"/>
        </w:numPr>
        <w:tabs>
          <w:tab w:val="left" w:pos="720" w:leader="none"/>
        </w:tabs>
        <w:ind w:hanging="360" w:start="720" w:end="0"/>
        <w:rPr>
          <w:b/>
          <w:sz w:val="22"/>
        </w:rPr>
      </w:pPr>
      <w:r>
        <w:rPr>
          <w:b/>
          <w:sz w:val="22"/>
        </w:rPr>
        <w:t>Impact on deals in pipeline</w:t>
      </w:r>
    </w:p>
    <w:p>
      <w:pPr>
        <w:pStyle w:val="Normal"/>
        <w:ind w:start="360" w:end="0"/>
        <w:rPr>
          <w:b/>
          <w:sz w:val="22"/>
        </w:rPr>
      </w:pPr>
      <w:r>
        <w:rPr>
          <w:b/>
          <w:sz w:val="22"/>
        </w:rPr>
      </w:r>
    </w:p>
    <w:p>
      <w:pPr>
        <w:pStyle w:val="Normal"/>
        <w:rPr>
          <w:b/>
          <w:color w:val="FF0000"/>
          <w:sz w:val="22"/>
        </w:rPr>
      </w:pPr>
      <w:r>
        <w:rPr>
          <w:b/>
          <w:color w:val="FF0000"/>
          <w:sz w:val="22"/>
        </w:rPr>
        <w:t>Update:</w:t>
        <w:tab/>
      </w:r>
    </w:p>
    <w:p>
      <w:pPr>
        <w:pStyle w:val="Normal"/>
        <w:numPr>
          <w:ilvl w:val="0"/>
          <w:numId w:val="31"/>
        </w:numPr>
        <w:rPr>
          <w:b/>
          <w:color w:val="FF0000"/>
          <w:sz w:val="22"/>
        </w:rPr>
      </w:pPr>
      <w:r>
        <w:rPr>
          <w:b/>
          <w:color w:val="FF0000"/>
          <w:sz w:val="22"/>
        </w:rPr>
        <w:t>Identified 4</w:t>
      </w:r>
      <w:r>
        <w:rPr>
          <w:b/>
          <w:color w:val="FF0000"/>
          <w:sz w:val="22"/>
          <w:vertAlign w:val="superscript"/>
        </w:rPr>
        <w:t>th</w:t>
      </w:r>
      <w:r>
        <w:rPr>
          <w:b/>
          <w:color w:val="FF0000"/>
          <w:sz w:val="22"/>
        </w:rPr>
        <w:t xml:space="preserve"> Quarter transactions dependent on California curves</w:t>
        <w:tab/>
      </w:r>
    </w:p>
    <w:p>
      <w:pPr>
        <w:pStyle w:val="Normal"/>
        <w:numPr>
          <w:ilvl w:val="0"/>
          <w:numId w:val="10"/>
        </w:numPr>
        <w:tabs>
          <w:tab w:val="left" w:pos="720" w:leader="none"/>
        </w:tabs>
        <w:ind w:hanging="360" w:start="720" w:end="0"/>
        <w:rPr>
          <w:b/>
          <w:color w:val="FF0000"/>
          <w:sz w:val="22"/>
        </w:rPr>
      </w:pPr>
      <w:r>
        <w:rPr>
          <w:b/>
          <w:color w:val="FF0000"/>
          <w:sz w:val="22"/>
        </w:rPr>
        <w:t>Owens Illinois</w:t>
      </w:r>
    </w:p>
    <w:p>
      <w:pPr>
        <w:pStyle w:val="Normal"/>
        <w:numPr>
          <w:ilvl w:val="0"/>
          <w:numId w:val="11"/>
        </w:numPr>
        <w:tabs>
          <w:tab w:val="left" w:pos="720" w:leader="none"/>
        </w:tabs>
        <w:ind w:hanging="360" w:start="720" w:end="0"/>
        <w:rPr>
          <w:b/>
          <w:color w:val="FF0000"/>
          <w:sz w:val="22"/>
        </w:rPr>
      </w:pPr>
      <w:r>
        <w:rPr>
          <w:b/>
          <w:color w:val="FF0000"/>
          <w:sz w:val="22"/>
        </w:rPr>
        <w:t>General Growth Properties</w:t>
      </w:r>
    </w:p>
    <w:p>
      <w:pPr>
        <w:pStyle w:val="Normal"/>
        <w:numPr>
          <w:ilvl w:val="0"/>
          <w:numId w:val="11"/>
        </w:numPr>
        <w:tabs>
          <w:tab w:val="left" w:pos="720" w:leader="none"/>
        </w:tabs>
        <w:ind w:hanging="360" w:start="720" w:end="0"/>
        <w:rPr>
          <w:b/>
          <w:color w:val="FF0000"/>
          <w:sz w:val="22"/>
        </w:rPr>
      </w:pPr>
      <w:r>
        <w:rPr>
          <w:b/>
          <w:color w:val="FF0000"/>
          <w:sz w:val="22"/>
        </w:rPr>
        <w:t>JC Penney</w:t>
      </w:r>
    </w:p>
    <w:p>
      <w:pPr>
        <w:pStyle w:val="Normal"/>
        <w:numPr>
          <w:ilvl w:val="0"/>
          <w:numId w:val="11"/>
        </w:numPr>
        <w:tabs>
          <w:tab w:val="left" w:pos="720" w:leader="none"/>
        </w:tabs>
        <w:ind w:hanging="360" w:start="720" w:end="0"/>
        <w:rPr>
          <w:b/>
          <w:color w:val="FF0000"/>
          <w:sz w:val="22"/>
        </w:rPr>
      </w:pPr>
      <w:r>
        <w:rPr>
          <w:b/>
          <w:color w:val="FF0000"/>
          <w:sz w:val="22"/>
        </w:rPr>
        <w:t xml:space="preserve">Macerich-Ontario Teachers (unwind) </w:t>
      </w:r>
    </w:p>
    <w:p>
      <w:pPr>
        <w:pStyle w:val="Normal"/>
        <w:numPr>
          <w:ilvl w:val="0"/>
          <w:numId w:val="11"/>
        </w:numPr>
        <w:tabs>
          <w:tab w:val="left" w:pos="720" w:leader="none"/>
        </w:tabs>
        <w:ind w:hanging="360" w:start="720" w:end="0"/>
        <w:rPr>
          <w:b/>
          <w:color w:val="FF0000"/>
          <w:sz w:val="22"/>
        </w:rPr>
      </w:pPr>
      <w:r>
        <w:rPr>
          <w:b/>
          <w:color w:val="FF0000"/>
          <w:sz w:val="22"/>
        </w:rPr>
        <w:t>Pilkington</w:t>
        <w:tab/>
      </w:r>
    </w:p>
    <w:p>
      <w:pPr>
        <w:pStyle w:val="Normal"/>
        <w:ind w:start="360" w:end="0"/>
        <w:rPr>
          <w:b/>
          <w:color w:val="FF0000"/>
          <w:sz w:val="22"/>
        </w:rPr>
      </w:pPr>
      <w:r>
        <w:rPr>
          <w:b/>
          <w:color w:val="FF0000"/>
          <w:sz w:val="22"/>
        </w:rPr>
      </w:r>
    </w:p>
    <w:p>
      <w:pPr>
        <w:pStyle w:val="Normal"/>
        <w:rPr>
          <w:b/>
          <w:color w:val="FF0000"/>
          <w:sz w:val="22"/>
        </w:rPr>
      </w:pPr>
      <w:r>
        <w:rPr>
          <w:b/>
          <w:color w:val="FF0000"/>
          <w:sz w:val="22"/>
        </w:rPr>
        <w:t>Follow-up:</w:t>
      </w:r>
    </w:p>
    <w:p>
      <w:pPr>
        <w:pStyle w:val="Normal"/>
        <w:numPr>
          <w:ilvl w:val="0"/>
          <w:numId w:val="39"/>
        </w:numPr>
        <w:rPr>
          <w:b/>
          <w:color w:val="FF0000"/>
          <w:sz w:val="22"/>
        </w:rPr>
      </w:pPr>
      <w:r>
        <w:rPr>
          <w:b/>
          <w:color w:val="FF0000"/>
          <w:sz w:val="22"/>
        </w:rPr>
        <w:t>Need to coordinate between Risk Management, Legal and Origination for the following</w:t>
      </w:r>
    </w:p>
    <w:p>
      <w:pPr>
        <w:pStyle w:val="Normal"/>
        <w:numPr>
          <w:ilvl w:val="0"/>
          <w:numId w:val="21"/>
        </w:numPr>
        <w:tabs>
          <w:tab w:val="left" w:pos="720" w:leader="none"/>
        </w:tabs>
        <w:ind w:hanging="360" w:start="720" w:end="0"/>
        <w:rPr>
          <w:b/>
          <w:color w:val="FF0000"/>
          <w:sz w:val="22"/>
        </w:rPr>
      </w:pPr>
      <w:r>
        <w:rPr>
          <w:b/>
          <w:color w:val="FF0000"/>
          <w:sz w:val="22"/>
        </w:rPr>
        <w:t xml:space="preserve">Which Index should be used in the Owens Illinois contract?  Can we hedge this exposure?  </w:t>
      </w:r>
    </w:p>
    <w:p>
      <w:pPr>
        <w:pStyle w:val="Normal"/>
        <w:numPr>
          <w:ilvl w:val="0"/>
          <w:numId w:val="21"/>
        </w:numPr>
        <w:tabs>
          <w:tab w:val="left" w:pos="720" w:leader="none"/>
        </w:tabs>
        <w:ind w:hanging="360" w:start="720" w:end="0"/>
        <w:rPr>
          <w:b/>
          <w:color w:val="FF0000"/>
          <w:sz w:val="22"/>
        </w:rPr>
      </w:pPr>
      <w:r>
        <w:rPr>
          <w:b/>
          <w:color w:val="FF0000"/>
          <w:sz w:val="22"/>
        </w:rPr>
        <w:t>If our future cost to serve contract is dependent upon tariff rates,  language should be added to allow EES to cancel contract or re-negotiate pricing as a result of material regulatory changes</w:t>
      </w:r>
    </w:p>
    <w:p>
      <w:pPr>
        <w:pStyle w:val="Normal"/>
        <w:numPr>
          <w:ilvl w:val="0"/>
          <w:numId w:val="21"/>
        </w:numPr>
        <w:tabs>
          <w:tab w:val="left" w:pos="720" w:leader="none"/>
        </w:tabs>
        <w:ind w:hanging="360" w:start="720" w:end="0"/>
        <w:rPr>
          <w:b/>
          <w:color w:val="FF0000"/>
          <w:sz w:val="22"/>
        </w:rPr>
      </w:pPr>
      <w:r>
        <w:rPr>
          <w:b/>
          <w:color w:val="FF0000"/>
          <w:sz w:val="22"/>
        </w:rPr>
        <w:t>Continue daily coordination between Risk Management and Origination</w:t>
      </w:r>
    </w:p>
    <w:p>
      <w:pPr>
        <w:pStyle w:val="Normal"/>
        <w:rPr>
          <w:b/>
          <w:color w:val="FF0000"/>
          <w:sz w:val="22"/>
        </w:rPr>
      </w:pPr>
      <w:r>
        <w:rPr>
          <w:b/>
          <w:color w:val="FF0000"/>
          <w:sz w:val="22"/>
        </w:rPr>
      </w:r>
    </w:p>
    <w:p>
      <w:pPr>
        <w:pStyle w:val="Normal"/>
        <w:rPr>
          <w:b/>
          <w:sz w:val="22"/>
        </w:rPr>
      </w:pPr>
      <w:r>
        <w:rPr>
          <w:b/>
          <w:sz w:val="22"/>
        </w:rPr>
        <w:t xml:space="preserve">7.  EAM </w:t>
        <w:tab/>
        <w:tab/>
        <w:tab/>
        <w:tab/>
        <w:tab/>
        <w:tab/>
        <w:tab/>
        <w:t>Meredith Eggleston</w:t>
      </w:r>
    </w:p>
    <w:p>
      <w:pPr>
        <w:pStyle w:val="Normal"/>
        <w:numPr>
          <w:ilvl w:val="0"/>
          <w:numId w:val="15"/>
        </w:numPr>
        <w:rPr>
          <w:b/>
          <w:sz w:val="22"/>
        </w:rPr>
      </w:pPr>
      <w:r>
        <w:rPr>
          <w:b/>
          <w:sz w:val="22"/>
        </w:rPr>
        <w:t>Value change in EAM option portfolio</w:t>
      </w:r>
    </w:p>
    <w:p>
      <w:pPr>
        <w:pStyle w:val="Normal"/>
        <w:rPr>
          <w:b/>
          <w:sz w:val="22"/>
        </w:rPr>
      </w:pPr>
      <w:r>
        <w:rPr>
          <w:b/>
          <w:sz w:val="22"/>
        </w:rPr>
      </w:r>
    </w:p>
    <w:p>
      <w:pPr>
        <w:pStyle w:val="Heading8"/>
        <w:ind w:hanging="0" w:start="0"/>
        <w:rPr>
          <w:sz w:val="22"/>
        </w:rPr>
      </w:pPr>
      <w:r>
        <w:rPr>
          <w:sz w:val="22"/>
        </w:rPr>
        <w:t>Follow-up:</w:t>
      </w:r>
    </w:p>
    <w:p>
      <w:pPr>
        <w:pStyle w:val="Normal"/>
        <w:numPr>
          <w:ilvl w:val="0"/>
          <w:numId w:val="29"/>
        </w:numPr>
        <w:rPr>
          <w:b/>
          <w:color w:val="FF0000"/>
          <w:sz w:val="22"/>
        </w:rPr>
      </w:pPr>
      <w:r>
        <w:rPr>
          <w:b/>
          <w:color w:val="FF0000"/>
          <w:sz w:val="22"/>
        </w:rPr>
        <w:t>Need to determine impact on valuation of EAM options.  Dave Roberts will coordinate this.</w:t>
      </w:r>
    </w:p>
    <w:p>
      <w:pPr>
        <w:pStyle w:val="Normal"/>
        <w:rPr>
          <w:b/>
          <w:color w:val="FF0000"/>
          <w:sz w:val="22"/>
        </w:rPr>
      </w:pPr>
      <w:r>
        <w:rPr>
          <w:b/>
          <w:color w:val="FF0000"/>
          <w:sz w:val="22"/>
        </w:rPr>
      </w:r>
    </w:p>
    <w:p>
      <w:pPr>
        <w:pStyle w:val="Heading1"/>
        <w:ind w:hanging="0" w:start="0"/>
        <w:rPr>
          <w:sz w:val="22"/>
        </w:rPr>
      </w:pPr>
      <w:r>
        <w:rPr>
          <w:sz w:val="22"/>
        </w:rPr>
        <w:t>8.  Regulatory Affairs</w:t>
        <w:tab/>
        <w:tab/>
        <w:tab/>
        <w:tab/>
        <w:tab/>
        <w:tab/>
        <w:t xml:space="preserve">Jeff Dasovich </w:t>
      </w:r>
    </w:p>
    <w:p>
      <w:pPr>
        <w:pStyle w:val="Normal"/>
        <w:numPr>
          <w:ilvl w:val="0"/>
          <w:numId w:val="47"/>
        </w:numPr>
        <w:tabs>
          <w:tab w:val="clear" w:pos="720"/>
          <w:tab w:val="left" w:pos="1080" w:leader="none"/>
        </w:tabs>
        <w:ind w:hanging="360" w:start="1080" w:end="0"/>
        <w:rPr>
          <w:b/>
          <w:sz w:val="22"/>
        </w:rPr>
      </w:pPr>
      <w:r>
        <w:rPr>
          <w:b/>
          <w:sz w:val="22"/>
        </w:rPr>
        <w:t>Current rate filings by the California Utilities</w:t>
      </w:r>
    </w:p>
    <w:p>
      <w:pPr>
        <w:pStyle w:val="Normal"/>
        <w:numPr>
          <w:ilvl w:val="0"/>
          <w:numId w:val="50"/>
        </w:numPr>
        <w:tabs>
          <w:tab w:val="clear" w:pos="720"/>
          <w:tab w:val="left" w:pos="1080" w:leader="none"/>
        </w:tabs>
        <w:ind w:hanging="360" w:start="1080" w:end="0"/>
        <w:rPr>
          <w:b/>
          <w:sz w:val="22"/>
        </w:rPr>
      </w:pPr>
      <w:r>
        <w:rPr>
          <w:b/>
          <w:sz w:val="22"/>
        </w:rPr>
        <w:t>What action does Enron want to take?</w:t>
      </w:r>
    </w:p>
    <w:p>
      <w:pPr>
        <w:pStyle w:val="Normal"/>
        <w:numPr>
          <w:ilvl w:val="0"/>
          <w:numId w:val="50"/>
        </w:numPr>
        <w:tabs>
          <w:tab w:val="clear" w:pos="720"/>
          <w:tab w:val="left" w:pos="1080" w:leader="none"/>
        </w:tabs>
        <w:ind w:hanging="360" w:start="1080" w:end="0"/>
        <w:rPr>
          <w:b/>
          <w:sz w:val="22"/>
        </w:rPr>
      </w:pPr>
      <w:r>
        <w:rPr>
          <w:b/>
          <w:sz w:val="22"/>
        </w:rPr>
        <w:t>Ways to mitigate exposure</w:t>
      </w:r>
    </w:p>
    <w:p>
      <w:pPr>
        <w:pStyle w:val="Normal"/>
        <w:rPr>
          <w:b/>
          <w:sz w:val="22"/>
        </w:rPr>
      </w:pPr>
      <w:r>
        <w:rPr>
          <w:b/>
          <w:sz w:val="22"/>
        </w:rPr>
      </w:r>
    </w:p>
    <w:p>
      <w:pPr>
        <w:pStyle w:val="Heading8"/>
        <w:ind w:hanging="0" w:start="0"/>
        <w:rPr>
          <w:sz w:val="22"/>
        </w:rPr>
      </w:pPr>
      <w:r>
        <w:rPr>
          <w:sz w:val="22"/>
        </w:rPr>
        <w:t>Update:</w:t>
      </w:r>
    </w:p>
    <w:p>
      <w:pPr>
        <w:pStyle w:val="Heading5"/>
        <w:numPr>
          <w:ilvl w:val="0"/>
          <w:numId w:val="9"/>
        </w:numPr>
        <w:rPr>
          <w:b/>
          <w:sz w:val="22"/>
        </w:rPr>
      </w:pPr>
      <w:r>
        <w:rPr>
          <w:b/>
          <w:sz w:val="22"/>
        </w:rPr>
        <w:t>Listed the top five/six regulatory issues EES should monitor:</w:t>
      </w:r>
    </w:p>
    <w:p>
      <w:pPr>
        <w:pStyle w:val="Normal"/>
        <w:numPr>
          <w:ilvl w:val="0"/>
          <w:numId w:val="28"/>
        </w:numPr>
        <w:rPr>
          <w:b/>
          <w:color w:val="FF0000"/>
          <w:sz w:val="22"/>
        </w:rPr>
      </w:pPr>
      <w:r>
        <w:rPr>
          <w:b/>
          <w:color w:val="FF0000"/>
          <w:sz w:val="22"/>
        </w:rPr>
        <w:t>FERC announcement received on 12/15/00</w:t>
      </w:r>
    </w:p>
    <w:p>
      <w:pPr>
        <w:pStyle w:val="Normal"/>
        <w:numPr>
          <w:ilvl w:val="0"/>
          <w:numId w:val="28"/>
        </w:numPr>
        <w:rPr>
          <w:b/>
          <w:color w:val="FF0000"/>
          <w:sz w:val="22"/>
        </w:rPr>
      </w:pPr>
      <w:r>
        <w:rPr>
          <w:b/>
          <w:color w:val="FF0000"/>
          <w:sz w:val="22"/>
        </w:rPr>
        <w:t>December 21</w:t>
      </w:r>
      <w:r>
        <w:rPr>
          <w:b/>
          <w:color w:val="FF0000"/>
          <w:sz w:val="22"/>
          <w:vertAlign w:val="superscript"/>
        </w:rPr>
        <w:t>st</w:t>
      </w:r>
      <w:r>
        <w:rPr>
          <w:b/>
          <w:color w:val="FF0000"/>
          <w:sz w:val="22"/>
        </w:rPr>
        <w:t xml:space="preserve"> CPUC meetings</w:t>
      </w:r>
    </w:p>
    <w:p>
      <w:pPr>
        <w:pStyle w:val="Normal"/>
        <w:numPr>
          <w:ilvl w:val="0"/>
          <w:numId w:val="6"/>
        </w:numPr>
        <w:tabs>
          <w:tab w:val="clear" w:pos="720"/>
          <w:tab w:val="left" w:pos="1440" w:leader="none"/>
        </w:tabs>
        <w:ind w:hanging="360" w:start="1440" w:end="0"/>
        <w:rPr>
          <w:b/>
          <w:color w:val="FF0000"/>
          <w:sz w:val="22"/>
        </w:rPr>
      </w:pPr>
      <w:r>
        <w:rPr>
          <w:b/>
          <w:color w:val="FF0000"/>
          <w:sz w:val="22"/>
        </w:rPr>
        <w:t>Would like to see the freeze continue to hold</w:t>
      </w:r>
    </w:p>
    <w:p>
      <w:pPr>
        <w:pStyle w:val="Normal"/>
        <w:numPr>
          <w:ilvl w:val="0"/>
          <w:numId w:val="6"/>
        </w:numPr>
        <w:tabs>
          <w:tab w:val="clear" w:pos="720"/>
          <w:tab w:val="left" w:pos="1440" w:leader="none"/>
        </w:tabs>
        <w:ind w:hanging="360" w:start="1440" w:end="0"/>
        <w:rPr>
          <w:b/>
          <w:color w:val="FF0000"/>
          <w:sz w:val="22"/>
        </w:rPr>
      </w:pPr>
      <w:r>
        <w:rPr>
          <w:b/>
          <w:color w:val="FF0000"/>
          <w:sz w:val="22"/>
        </w:rPr>
        <w:t>No Increase in Tariffs</w:t>
      </w:r>
    </w:p>
    <w:p>
      <w:pPr>
        <w:pStyle w:val="Normal"/>
        <w:numPr>
          <w:ilvl w:val="0"/>
          <w:numId w:val="6"/>
        </w:numPr>
        <w:tabs>
          <w:tab w:val="clear" w:pos="720"/>
          <w:tab w:val="left" w:pos="1440" w:leader="none"/>
        </w:tabs>
        <w:ind w:hanging="360" w:start="1440" w:end="0"/>
        <w:rPr>
          <w:b/>
          <w:color w:val="FF0000"/>
          <w:sz w:val="22"/>
        </w:rPr>
      </w:pPr>
      <w:r>
        <w:rPr>
          <w:b/>
          <w:color w:val="FF0000"/>
          <w:sz w:val="22"/>
        </w:rPr>
        <w:t>What involvement should Enron have?</w:t>
      </w:r>
    </w:p>
    <w:p>
      <w:pPr>
        <w:pStyle w:val="Normal"/>
        <w:numPr>
          <w:ilvl w:val="0"/>
          <w:numId w:val="6"/>
        </w:numPr>
        <w:tabs>
          <w:tab w:val="clear" w:pos="720"/>
          <w:tab w:val="left" w:pos="1440" w:leader="none"/>
        </w:tabs>
        <w:ind w:hanging="360" w:start="1440" w:end="0"/>
        <w:rPr>
          <w:b/>
          <w:color w:val="FF0000"/>
          <w:sz w:val="22"/>
        </w:rPr>
      </w:pPr>
      <w:r>
        <w:rPr>
          <w:b/>
          <w:color w:val="FF0000"/>
          <w:sz w:val="22"/>
        </w:rPr>
        <w:t>Who is attending?</w:t>
      </w:r>
    </w:p>
    <w:p>
      <w:pPr>
        <w:pStyle w:val="BodyTextIndent2"/>
        <w:rPr/>
      </w:pPr>
      <w:r>
        <w:rPr/>
        <w:t xml:space="preserve">3.  </w:t>
      </w:r>
      <w:r>
        <w:rPr>
          <w:i/>
        </w:rPr>
        <w:t xml:space="preserve">Jeff Dasovich provided information regarding “interest” around the CPUC     </w:t>
      </w:r>
    </w:p>
    <w:p>
      <w:pPr>
        <w:pStyle w:val="BodyTextIndent2"/>
        <w:rPr>
          <w:i/>
          <w:i/>
        </w:rPr>
      </w:pPr>
      <w:r>
        <w:rPr>
          <w:i/>
        </w:rPr>
        <w:t xml:space="preserve">     </w:t>
      </w:r>
      <w:r>
        <w:rPr>
          <w:i/>
        </w:rPr>
        <w:t xml:space="preserve">meeting.  A scheduled meeting with the commission was cancelled, a key </w:t>
      </w:r>
    </w:p>
    <w:p>
      <w:pPr>
        <w:pStyle w:val="BodyTextIndent2"/>
        <w:rPr>
          <w:i/>
          <w:i/>
        </w:rPr>
      </w:pPr>
      <w:r>
        <w:rPr>
          <w:i/>
        </w:rPr>
        <w:t xml:space="preserve">     </w:t>
      </w:r>
      <w:r>
        <w:rPr>
          <w:i/>
        </w:rPr>
        <w:t xml:space="preserve">consumer group expressed concern re the procedures, and speculation in </w:t>
      </w:r>
    </w:p>
    <w:p>
      <w:pPr>
        <w:pStyle w:val="BodyTextIndent2"/>
        <w:rPr>
          <w:i/>
          <w:i/>
        </w:rPr>
      </w:pPr>
      <w:r>
        <w:rPr>
          <w:i/>
        </w:rPr>
        <w:t xml:space="preserve">     </w:t>
      </w:r>
      <w:r>
        <w:rPr>
          <w:i/>
        </w:rPr>
        <w:t xml:space="preserve">newspaper articles re outcome.  </w:t>
      </w:r>
    </w:p>
    <w:p>
      <w:pPr>
        <w:pStyle w:val="BodyTextIndent"/>
        <w:numPr>
          <w:ilvl w:val="0"/>
          <w:numId w:val="45"/>
        </w:numPr>
        <w:tabs>
          <w:tab w:val="clear" w:pos="720"/>
          <w:tab w:val="left" w:pos="1080" w:leader="none"/>
        </w:tabs>
        <w:ind w:hanging="360" w:start="1080" w:end="0"/>
        <w:rPr>
          <w:b w:val="false"/>
          <w:i/>
          <w:i/>
          <w:sz w:val="22"/>
        </w:rPr>
      </w:pPr>
      <w:r>
        <w:rPr>
          <w:i/>
          <w:sz w:val="22"/>
        </w:rPr>
        <w:t xml:space="preserve">Summit meetings between state governments, federal governments, utilities and corporations early to mid next week.  Need to determine if this meeting is happening and who is attending for Enron. </w:t>
      </w:r>
    </w:p>
    <w:p>
      <w:pPr>
        <w:pStyle w:val="Normal"/>
        <w:numPr>
          <w:ilvl w:val="0"/>
          <w:numId w:val="45"/>
        </w:numPr>
        <w:tabs>
          <w:tab w:val="clear" w:pos="720"/>
          <w:tab w:val="left" w:pos="1080" w:leader="none"/>
        </w:tabs>
        <w:ind w:hanging="360" w:start="1080" w:end="0"/>
        <w:rPr>
          <w:b/>
          <w:color w:val="FF0000"/>
          <w:sz w:val="22"/>
        </w:rPr>
      </w:pPr>
      <w:r>
        <w:rPr>
          <w:b/>
          <w:color w:val="FF0000"/>
          <w:sz w:val="22"/>
        </w:rPr>
        <w:t>Ultimate methodology for  California PX credit calculation</w:t>
      </w:r>
    </w:p>
    <w:p>
      <w:pPr>
        <w:pStyle w:val="Normal"/>
        <w:numPr>
          <w:ilvl w:val="0"/>
          <w:numId w:val="5"/>
        </w:numPr>
        <w:tabs>
          <w:tab w:val="clear" w:pos="720"/>
          <w:tab w:val="left" w:pos="1440" w:leader="none"/>
        </w:tabs>
        <w:ind w:hanging="360" w:start="1440" w:end="0"/>
        <w:rPr>
          <w:b/>
          <w:color w:val="FF0000"/>
          <w:sz w:val="22"/>
        </w:rPr>
      </w:pPr>
      <w:r>
        <w:rPr>
          <w:b/>
          <w:color w:val="FF0000"/>
          <w:sz w:val="22"/>
        </w:rPr>
        <w:t>Suggest ESP use day ahead pricing</w:t>
      </w:r>
    </w:p>
    <w:p>
      <w:pPr>
        <w:pStyle w:val="BodyText"/>
        <w:numPr>
          <w:ilvl w:val="0"/>
          <w:numId w:val="18"/>
        </w:numPr>
        <w:tabs>
          <w:tab w:val="clear" w:pos="720"/>
          <w:tab w:val="left" w:pos="1440" w:leader="none"/>
        </w:tabs>
        <w:ind w:hanging="360" w:start="1440" w:end="0"/>
        <w:rPr/>
      </w:pPr>
      <w:r>
        <w:rPr/>
        <w:t>Allow EES the right to purchase power at the PX price</w:t>
      </w:r>
    </w:p>
    <w:p>
      <w:pPr>
        <w:pStyle w:val="BodyText"/>
        <w:numPr>
          <w:ilvl w:val="0"/>
          <w:numId w:val="18"/>
        </w:numPr>
        <w:tabs>
          <w:tab w:val="clear" w:pos="720"/>
          <w:tab w:val="left" w:pos="1440" w:leader="none"/>
        </w:tabs>
        <w:ind w:hanging="360" w:start="1440" w:end="0"/>
        <w:rPr>
          <w:b w:val="false"/>
        </w:rPr>
      </w:pPr>
      <w:r>
        <w:rPr/>
        <w:t>Ability to return customers to the bundled tariff as a mechanism to ensure full access to the credit with limited exposure to price differences in actual PX index and the credits received</w:t>
      </w:r>
    </w:p>
    <w:p>
      <w:pPr>
        <w:pStyle w:val="Normal"/>
        <w:ind w:start="720" w:end="0"/>
        <w:rPr>
          <w:b/>
          <w:color w:val="FF0000"/>
          <w:sz w:val="22"/>
        </w:rPr>
      </w:pPr>
      <w:r>
        <w:rPr>
          <w:b/>
          <w:color w:val="FF0000"/>
          <w:sz w:val="22"/>
        </w:rPr>
        <w:t xml:space="preserve">6.   Longer term – competitive default service </w:t>
      </w:r>
    </w:p>
    <w:p>
      <w:pPr>
        <w:pStyle w:val="Normal"/>
        <w:rPr>
          <w:b/>
          <w:color w:val="FF0000"/>
          <w:sz w:val="22"/>
        </w:rPr>
      </w:pPr>
      <w:r>
        <w:rPr>
          <w:b/>
          <w:color w:val="FF0000"/>
          <w:sz w:val="22"/>
        </w:rPr>
      </w:r>
    </w:p>
    <w:p>
      <w:pPr>
        <w:pStyle w:val="Normal"/>
        <w:numPr>
          <w:ilvl w:val="0"/>
          <w:numId w:val="19"/>
        </w:numPr>
        <w:rPr>
          <w:b/>
          <w:i/>
          <w:i/>
          <w:color w:val="FF0000"/>
          <w:sz w:val="22"/>
        </w:rPr>
      </w:pPr>
      <w:r>
        <w:rPr>
          <w:b/>
          <w:i/>
          <w:color w:val="FF0000"/>
          <w:sz w:val="22"/>
        </w:rPr>
        <w:t>Need to completely understand the impact of the “Richardson Order”.  Harry Kingerski will continue to monitor this for Enron.</w:t>
      </w:r>
    </w:p>
    <w:p>
      <w:pPr>
        <w:pStyle w:val="Normal"/>
        <w:rPr>
          <w:b/>
          <w:i/>
          <w:i/>
          <w:color w:val="FF0000"/>
          <w:sz w:val="22"/>
        </w:rPr>
      </w:pPr>
      <w:r>
        <w:rPr>
          <w:b/>
          <w:i/>
          <w:color w:val="FF0000"/>
          <w:sz w:val="22"/>
        </w:rPr>
      </w:r>
    </w:p>
    <w:p>
      <w:pPr>
        <w:pStyle w:val="Normal"/>
        <w:numPr>
          <w:ilvl w:val="0"/>
          <w:numId w:val="7"/>
        </w:numPr>
        <w:rPr>
          <w:b/>
          <w:sz w:val="22"/>
        </w:rPr>
      </w:pPr>
      <w:r>
        <w:rPr>
          <w:b/>
          <w:sz w:val="22"/>
        </w:rPr>
        <w:t>Legal</w:t>
        <w:tab/>
        <w:tab/>
        <w:tab/>
        <w:tab/>
        <w:tab/>
        <w:tab/>
        <w:tab/>
        <w:t>Vicky Sharp</w:t>
      </w:r>
    </w:p>
    <w:p>
      <w:pPr>
        <w:pStyle w:val="Normal"/>
        <w:rPr>
          <w:b/>
          <w:sz w:val="22"/>
        </w:rPr>
      </w:pPr>
      <w:r>
        <w:rPr>
          <w:b/>
          <w:sz w:val="22"/>
        </w:rPr>
      </w:r>
    </w:p>
    <w:p>
      <w:pPr>
        <w:pStyle w:val="BodyText"/>
        <w:rPr/>
      </w:pPr>
      <w:r>
        <w:rPr/>
        <w:t>Update:</w:t>
      </w:r>
    </w:p>
    <w:p>
      <w:pPr>
        <w:pStyle w:val="Normal"/>
        <w:numPr>
          <w:ilvl w:val="0"/>
          <w:numId w:val="8"/>
        </w:numPr>
        <w:rPr>
          <w:b/>
          <w:color w:val="FF0000"/>
          <w:sz w:val="22"/>
        </w:rPr>
      </w:pPr>
      <w:r>
        <w:rPr>
          <w:b/>
          <w:color w:val="FF0000"/>
          <w:sz w:val="22"/>
        </w:rPr>
        <w:t>Monitor litigation in California</w:t>
      </w:r>
    </w:p>
    <w:p>
      <w:pPr>
        <w:pStyle w:val="Normal"/>
        <w:numPr>
          <w:ilvl w:val="0"/>
          <w:numId w:val="8"/>
        </w:numPr>
        <w:rPr>
          <w:b/>
          <w:color w:val="FF0000"/>
          <w:sz w:val="22"/>
        </w:rPr>
      </w:pPr>
      <w:r>
        <w:rPr>
          <w:b/>
          <w:color w:val="FF0000"/>
          <w:sz w:val="22"/>
        </w:rPr>
        <w:t xml:space="preserve">Begin Contract reviews </w:t>
      </w:r>
    </w:p>
    <w:p>
      <w:pPr>
        <w:pStyle w:val="Normal"/>
        <w:numPr>
          <w:ilvl w:val="0"/>
          <w:numId w:val="8"/>
        </w:numPr>
        <w:rPr>
          <w:b/>
          <w:color w:val="FF0000"/>
          <w:sz w:val="22"/>
        </w:rPr>
      </w:pPr>
      <w:r>
        <w:rPr>
          <w:b/>
          <w:color w:val="FF0000"/>
          <w:sz w:val="22"/>
        </w:rPr>
        <w:t>Follow PG&amp;E collection issue</w:t>
      </w:r>
    </w:p>
    <w:p>
      <w:pPr>
        <w:pStyle w:val="Normal"/>
        <w:numPr>
          <w:ilvl w:val="0"/>
          <w:numId w:val="8"/>
        </w:numPr>
        <w:rPr>
          <w:b/>
          <w:color w:val="FF0000"/>
          <w:sz w:val="22"/>
        </w:rPr>
      </w:pPr>
      <w:r>
        <w:rPr>
          <w:b/>
          <w:color w:val="FF0000"/>
          <w:sz w:val="22"/>
        </w:rPr>
        <w:t>Suggest changes in contract language for 4</w:t>
      </w:r>
      <w:r>
        <w:rPr>
          <w:b/>
          <w:color w:val="FF0000"/>
          <w:sz w:val="22"/>
          <w:vertAlign w:val="superscript"/>
        </w:rPr>
        <w:t>th</w:t>
      </w:r>
      <w:r>
        <w:rPr>
          <w:b/>
          <w:color w:val="FF0000"/>
          <w:sz w:val="22"/>
        </w:rPr>
        <w:t xml:space="preserve"> quarter transactions</w:t>
      </w:r>
    </w:p>
    <w:p>
      <w:pPr>
        <w:pStyle w:val="Normal"/>
        <w:rPr>
          <w:b/>
          <w:color w:val="FF0000"/>
          <w:sz w:val="22"/>
        </w:rPr>
      </w:pPr>
      <w:r>
        <w:rPr>
          <w:b/>
          <w:color w:val="FF0000"/>
          <w:sz w:val="22"/>
        </w:rPr>
      </w:r>
    </w:p>
    <w:p>
      <w:pPr>
        <w:pStyle w:val="Normal"/>
        <w:numPr>
          <w:ilvl w:val="0"/>
          <w:numId w:val="7"/>
        </w:numPr>
        <w:rPr>
          <w:b/>
          <w:sz w:val="22"/>
        </w:rPr>
      </w:pPr>
      <w:r>
        <w:rPr>
          <w:b/>
          <w:sz w:val="22"/>
        </w:rPr>
        <w:t>Other Suggestions</w:t>
        <w:tab/>
        <w:tab/>
        <w:tab/>
        <w:tab/>
        <w:tab/>
        <w:tab/>
        <w:t>Dennis Benevides</w:t>
      </w:r>
    </w:p>
    <w:p>
      <w:pPr>
        <w:pStyle w:val="Normal"/>
        <w:rPr>
          <w:b/>
          <w:sz w:val="22"/>
        </w:rPr>
      </w:pPr>
      <w:r>
        <w:rPr>
          <w:b/>
          <w:sz w:val="22"/>
        </w:rPr>
      </w:r>
    </w:p>
    <w:p>
      <w:pPr>
        <w:pStyle w:val="BodyText"/>
        <w:rPr/>
      </w:pPr>
      <w:r>
        <w:rPr/>
        <w:t>Update:</w:t>
      </w:r>
    </w:p>
    <w:p>
      <w:pPr>
        <w:pStyle w:val="Normal"/>
        <w:numPr>
          <w:ilvl w:val="0"/>
          <w:numId w:val="30"/>
        </w:numPr>
        <w:rPr>
          <w:b/>
          <w:color w:val="FF0000"/>
          <w:sz w:val="22"/>
        </w:rPr>
      </w:pPr>
      <w:r>
        <w:rPr>
          <w:b/>
          <w:color w:val="FF0000"/>
          <w:sz w:val="22"/>
        </w:rPr>
        <w:t>Fully explore opportunities to increase physical imports into California</w:t>
      </w:r>
    </w:p>
    <w:p>
      <w:pPr>
        <w:pStyle w:val="Normal"/>
        <w:numPr>
          <w:ilvl w:val="0"/>
          <w:numId w:val="41"/>
        </w:numPr>
        <w:tabs>
          <w:tab w:val="left" w:pos="720" w:leader="none"/>
        </w:tabs>
        <w:ind w:hanging="360" w:start="720" w:end="0"/>
        <w:rPr>
          <w:b/>
          <w:color w:val="FF0000"/>
          <w:sz w:val="22"/>
        </w:rPr>
      </w:pPr>
      <w:r>
        <w:rPr>
          <w:b/>
          <w:color w:val="FF0000"/>
          <w:sz w:val="22"/>
        </w:rPr>
        <w:t>Dennis to coordinate with Tim Belton re Transmission constraints</w:t>
      </w:r>
    </w:p>
    <w:p>
      <w:pPr>
        <w:pStyle w:val="Normal"/>
        <w:numPr>
          <w:ilvl w:val="0"/>
          <w:numId w:val="41"/>
        </w:numPr>
        <w:tabs>
          <w:tab w:val="left" w:pos="720" w:leader="none"/>
        </w:tabs>
        <w:ind w:hanging="360" w:start="720" w:end="0"/>
        <w:rPr>
          <w:b/>
          <w:color w:val="FF0000"/>
          <w:sz w:val="22"/>
        </w:rPr>
      </w:pPr>
      <w:r>
        <w:rPr>
          <w:b/>
          <w:color w:val="FF0000"/>
          <w:sz w:val="22"/>
        </w:rPr>
        <w:t>Ability to ease emission restrictions</w:t>
      </w:r>
    </w:p>
    <w:p>
      <w:pPr>
        <w:pStyle w:val="Normal"/>
        <w:numPr>
          <w:ilvl w:val="0"/>
          <w:numId w:val="41"/>
        </w:numPr>
        <w:tabs>
          <w:tab w:val="left" w:pos="720" w:leader="none"/>
        </w:tabs>
        <w:ind w:hanging="360" w:start="720" w:end="0"/>
        <w:rPr>
          <w:b/>
          <w:color w:val="FF0000"/>
          <w:sz w:val="22"/>
        </w:rPr>
      </w:pPr>
      <w:r>
        <w:rPr>
          <w:b/>
          <w:color w:val="FF0000"/>
          <w:sz w:val="22"/>
        </w:rPr>
        <w:t xml:space="preserve">Additional generation capacity </w:t>
      </w:r>
    </w:p>
    <w:p>
      <w:pPr>
        <w:pStyle w:val="Normal"/>
        <w:ind w:start="720" w:end="0"/>
        <w:rPr>
          <w:b/>
          <w:color w:val="FF0000"/>
          <w:sz w:val="22"/>
        </w:rPr>
      </w:pPr>
      <w:r>
        <w:rPr>
          <w:b/>
          <w:color w:val="FF0000"/>
          <w:sz w:val="22"/>
        </w:rPr>
      </w:r>
    </w:p>
    <w:p>
      <w:pPr>
        <w:pStyle w:val="Normal"/>
        <w:rPr>
          <w:b/>
          <w:color w:val="FF0000"/>
          <w:sz w:val="22"/>
        </w:rPr>
      </w:pPr>
      <w:r>
        <w:rPr>
          <w:b/>
          <w:color w:val="FF0000"/>
          <w:sz w:val="22"/>
        </w:rPr>
      </w:r>
    </w:p>
    <w:p>
      <w:pPr>
        <w:pStyle w:val="Normal"/>
        <w:rPr>
          <w:b/>
          <w:color w:val="FF0000"/>
          <w:sz w:val="22"/>
        </w:rPr>
      </w:pPr>
      <w:r>
        <w:rPr>
          <w:b/>
          <w:color w:val="FF0000"/>
          <w:sz w:val="22"/>
        </w:rPr>
      </w:r>
    </w:p>
    <w:p>
      <w:pPr>
        <w:pStyle w:val="Normal"/>
        <w:rPr>
          <w:b/>
          <w:color w:val="FF0000"/>
          <w:sz w:val="22"/>
        </w:rPr>
      </w:pPr>
      <w:r>
        <w:rPr>
          <w:b/>
          <w:color w:val="FF0000"/>
          <w:sz w:val="22"/>
        </w:rPr>
      </w:r>
      <w:r>
        <w:br w:type="page"/>
      </w:r>
    </w:p>
    <w:p>
      <w:pPr>
        <w:pStyle w:val="Normal"/>
        <w:rPr>
          <w:b/>
          <w:color w:val="FF0000"/>
          <w:sz w:val="22"/>
        </w:rPr>
      </w:pPr>
      <w:r>
        <w:rPr>
          <w:b/>
          <w:color w:val="FF0000"/>
          <w:sz w:val="22"/>
        </w:rPr>
      </w:r>
    </w:p>
    <w:sectPr>
      <w:type w:val="nextPage"/>
      <w:pgSz w:w="12240" w:h="15840"/>
      <w:pgMar w:left="1800" w:right="180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decimal"/>
      <w:lvlText w:val="%1."/>
      <w:lvlJc w:val="start"/>
      <w:pPr>
        <w:tabs>
          <w:tab w:val="num" w:pos="1080"/>
        </w:tabs>
        <w:ind w:start="1080" w:hanging="360"/>
      </w:pPr>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9"/>
      <w:numFmt w:val="decimal"/>
      <w:lvlText w:val="%1."/>
      <w:lvlJc w:val="start"/>
      <w:pPr>
        <w:tabs>
          <w:tab w:val="num" w:pos="360"/>
        </w:tabs>
        <w:ind w:start="360" w:hanging="360"/>
      </w:pPr>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Wingdings" w:hAnsi="Wingdings" w:cs="Wingdings"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Wingdings" w:hAnsi="Wingdings" w:cs="Wingdings"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9"/>
      <w:numFmt w:val="decimal"/>
      <w:lvlText w:val="%1."/>
      <w:lvlJc w:val="start"/>
      <w:pPr>
        <w:tabs>
          <w:tab w:val="num" w:pos="360"/>
        </w:tabs>
        <w:ind w:start="360" w:hanging="360"/>
      </w:pPr>
      <w:rPr>
        <w:sz w:val="24"/>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decimal"/>
      <w:lvlText w:val="%1."/>
      <w:lvlJc w:val="start"/>
      <w:pPr>
        <w:tabs>
          <w:tab w:val="num" w:pos="1080"/>
        </w:tabs>
        <w:ind w:start="1080" w:hanging="360"/>
      </w:pPr>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bullet"/>
      <w:lvlText w:val=""/>
      <w:lvlJc w:val="start"/>
      <w:pPr>
        <w:tabs>
          <w:tab w:val="num" w:pos="360"/>
        </w:tabs>
        <w:ind w:start="360" w:hanging="360"/>
      </w:pPr>
      <w:rPr>
        <w:rFonts w:ascii="Wingdings" w:hAnsi="Wingdings" w:cs="Wingdings" w:hint="default"/>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bullet"/>
      <w:lvlText w:val=""/>
      <w:lvlJc w:val="start"/>
      <w:pPr>
        <w:tabs>
          <w:tab w:val="num" w:pos="360"/>
        </w:tabs>
        <w:ind w:start="360" w:hanging="360"/>
      </w:pPr>
      <w:rPr>
        <w:rFonts w:ascii="Symbol" w:hAnsi="Symbol" w:cs="Symbol" w:hint="default"/>
      </w:rPr>
    </w:lvl>
  </w:abstractNum>
  <w:abstractNum w:abstractNumId="38">
    <w:lvl w:ilvl="0">
      <w:start w:val="1"/>
      <w:numFmt w:val="bullet"/>
      <w:lvlText w:val=""/>
      <w:lvlJc w:val="start"/>
      <w:pPr>
        <w:tabs>
          <w:tab w:val="num" w:pos="360"/>
        </w:tabs>
        <w:ind w:start="360" w:hanging="360"/>
      </w:pPr>
      <w:rPr>
        <w:rFonts w:ascii="Symbol" w:hAnsi="Symbol" w:cs="Symbol" w:hint="default"/>
      </w:rPr>
    </w:lvl>
  </w:abstractNum>
  <w:abstractNum w:abstractNumId="39">
    <w:lvl w:ilvl="0">
      <w:start w:val="1"/>
      <w:numFmt w:val="bullet"/>
      <w:lvlText w:val=""/>
      <w:lvlJc w:val="start"/>
      <w:pPr>
        <w:tabs>
          <w:tab w:val="num" w:pos="360"/>
        </w:tabs>
        <w:ind w:start="360" w:hanging="360"/>
      </w:pPr>
      <w:rPr>
        <w:rFonts w:ascii="Symbol" w:hAnsi="Symbol" w:cs="Symbol" w:hint="default"/>
      </w:rPr>
    </w:lvl>
  </w:abstractNum>
  <w:abstractNum w:abstractNumId="40">
    <w:lvl w:ilvl="0">
      <w:start w:val="1"/>
      <w:numFmt w:val="bullet"/>
      <w:lvlText w:val=""/>
      <w:lvlJc w:val="start"/>
      <w:pPr>
        <w:tabs>
          <w:tab w:val="num" w:pos="360"/>
        </w:tabs>
        <w:ind w:start="360" w:hanging="360"/>
      </w:pPr>
      <w:rPr>
        <w:rFonts w:ascii="Wingdings" w:hAnsi="Wingdings" w:cs="Wingdings" w:hint="default"/>
      </w:rPr>
    </w:lvl>
  </w:abstractNum>
  <w:abstractNum w:abstractNumId="41">
    <w:lvl w:ilvl="0">
      <w:start w:val="1"/>
      <w:numFmt w:val="bullet"/>
      <w:lvlText w:val=""/>
      <w:lvlJc w:val="start"/>
      <w:pPr>
        <w:tabs>
          <w:tab w:val="num" w:pos="360"/>
        </w:tabs>
        <w:ind w:start="360" w:hanging="360"/>
      </w:pPr>
      <w:rPr>
        <w:rFonts w:ascii="Wingdings" w:hAnsi="Wingdings" w:cs="Wingdings" w:hint="default"/>
        <w:sz w:val="16"/>
      </w:rPr>
    </w:lvl>
  </w:abstractNum>
  <w:abstractNum w:abstractNumId="42">
    <w:lvl w:ilvl="0">
      <w:start w:val="1"/>
      <w:numFmt w:val="bullet"/>
      <w:lvlText w:val=""/>
      <w:lvlJc w:val="start"/>
      <w:pPr>
        <w:tabs>
          <w:tab w:val="num" w:pos="360"/>
        </w:tabs>
        <w:ind w:start="360" w:hanging="360"/>
      </w:pPr>
      <w:rPr>
        <w:rFonts w:ascii="Symbol" w:hAnsi="Symbol" w:cs="Symbol" w:hint="default"/>
      </w:rPr>
    </w:lvl>
  </w:abstractNum>
  <w:abstractNum w:abstractNumId="43">
    <w:lvl w:ilvl="0">
      <w:start w:val="1"/>
      <w:numFmt w:val="bullet"/>
      <w:lvlText w:val=""/>
      <w:lvlJc w:val="start"/>
      <w:pPr>
        <w:tabs>
          <w:tab w:val="num" w:pos="360"/>
        </w:tabs>
        <w:ind w:start="360" w:hanging="360"/>
      </w:pPr>
      <w:rPr>
        <w:rFonts w:ascii="Symbol" w:hAnsi="Symbol" w:cs="Symbol" w:hint="default"/>
      </w:rPr>
    </w:lvl>
  </w:abstractNum>
  <w:abstractNum w:abstractNumId="44">
    <w:lvl w:ilvl="0">
      <w:start w:val="1"/>
      <w:numFmt w:val="decimal"/>
      <w:lvlText w:val="%1."/>
      <w:lvlJc w:val="start"/>
      <w:pPr>
        <w:tabs>
          <w:tab w:val="num" w:pos="1080"/>
        </w:tabs>
        <w:ind w:start="1080" w:hanging="360"/>
      </w:pPr>
      <w:rPr/>
    </w:lvl>
  </w:abstractNum>
  <w:abstractNum w:abstractNumId="45">
    <w:lvl w:ilvl="0">
      <w:start w:val="1"/>
      <w:numFmt w:val="decimal"/>
      <w:lvlText w:val="%1."/>
      <w:lvlJc w:val="start"/>
      <w:pPr>
        <w:tabs>
          <w:tab w:val="num" w:pos="360"/>
        </w:tabs>
        <w:ind w:start="360" w:hanging="360"/>
      </w:pPr>
    </w:lvl>
  </w:abstractNum>
  <w:abstractNum w:abstractNumId="46">
    <w:lvl w:ilvl="0">
      <w:start w:val="1"/>
      <w:numFmt w:val="bullet"/>
      <w:lvlText w:val=""/>
      <w:lvlJc w:val="start"/>
      <w:pPr>
        <w:tabs>
          <w:tab w:val="num" w:pos="360"/>
        </w:tabs>
        <w:ind w:start="360" w:hanging="360"/>
      </w:pPr>
      <w:rPr>
        <w:rFonts w:ascii="Wingdings" w:hAnsi="Wingdings" w:cs="Wingdings" w:hint="default"/>
      </w:rPr>
    </w:lvl>
  </w:abstractNum>
  <w:abstractNum w:abstractNumId="47">
    <w:lvl w:ilvl="0">
      <w:start w:val="1"/>
      <w:numFmt w:val="bullet"/>
      <w:lvlText w:val=""/>
      <w:lvlJc w:val="start"/>
      <w:pPr>
        <w:tabs>
          <w:tab w:val="num" w:pos="360"/>
        </w:tabs>
        <w:ind w:start="360" w:hanging="360"/>
      </w:pPr>
      <w:rPr>
        <w:rFonts w:ascii="Symbol" w:hAnsi="Symbol" w:cs="Symbol" w:hint="default"/>
      </w:rPr>
    </w:lvl>
  </w:abstractNum>
  <w:abstractNum w:abstractNumId="48">
    <w:lvl w:ilvl="0">
      <w:start w:val="1"/>
      <w:numFmt w:val="bullet"/>
      <w:lvlText w:val=""/>
      <w:lvlJc w:val="start"/>
      <w:pPr>
        <w:tabs>
          <w:tab w:val="num" w:pos="360"/>
        </w:tabs>
        <w:ind w:start="360" w:hanging="360"/>
      </w:pPr>
      <w:rPr>
        <w:rFonts w:ascii="Symbol" w:hAnsi="Symbol" w:cs="Symbol" w:hint="default"/>
      </w:rPr>
    </w:lvl>
  </w:abstractNum>
  <w:abstractNum w:abstractNumId="49">
    <w:lvl w:ilvl="0">
      <w:start w:val="1"/>
      <w:numFmt w:val="decimal"/>
      <w:lvlText w:val="%1."/>
      <w:lvlJc w:val="start"/>
      <w:pPr>
        <w:tabs>
          <w:tab w:val="num" w:pos="1080"/>
        </w:tabs>
        <w:ind w:start="1080" w:hanging="360"/>
      </w:pPr>
      <w:rPr/>
    </w:lvl>
  </w:abstractNum>
  <w:abstractNum w:abstractNumId="50">
    <w:lvl w:ilvl="0">
      <w:start w:val="1"/>
      <w:numFmt w:val="bullet"/>
      <w:lvlText w:val=""/>
      <w:lvlJc w:val="start"/>
      <w:pPr>
        <w:tabs>
          <w:tab w:val="num" w:pos="360"/>
        </w:tabs>
        <w:ind w:start="360" w:hanging="360"/>
      </w:pPr>
      <w:rPr>
        <w:rFonts w:ascii="Symbol" w:hAnsi="Symbol" w:cs="Symbol" w:hint="default"/>
      </w:rPr>
    </w:lvl>
  </w:abstractNum>
  <w:abstractNum w:abstractNumId="51">
    <w:lvl w:ilvl="0">
      <w:start w:val="1"/>
      <w:numFmt w:val="bullet"/>
      <w:lvlText w:val=""/>
      <w:lvlJc w:val="start"/>
      <w:pPr>
        <w:tabs>
          <w:tab w:val="num" w:pos="360"/>
        </w:tabs>
        <w:ind w:start="360" w:hanging="360"/>
      </w:pPr>
      <w:rPr>
        <w:rFonts w:ascii="Symbol" w:hAnsi="Symbol" w:cs="Symbol" w:hint="default"/>
      </w:rPr>
    </w:lvl>
  </w:abstractNum>
  <w:abstractNum w:abstractNumId="52">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b/>
      <w:sz w:val="22"/>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outlineLvl w:val="4"/>
    </w:pPr>
    <w:rPr>
      <w:color w:val="FF0000"/>
      <w:sz w:val="24"/>
    </w:rPr>
  </w:style>
  <w:style w:type="paragraph" w:styleId="Heading6">
    <w:name w:val="heading 6"/>
    <w:basedOn w:val="Normal"/>
    <w:next w:val="Normal"/>
    <w:qFormat/>
    <w:pPr>
      <w:keepNext w:val="true"/>
      <w:numPr>
        <w:ilvl w:val="5"/>
        <w:numId w:val="1"/>
      </w:numPr>
      <w:outlineLvl w:val="5"/>
    </w:pPr>
    <w:rPr>
      <w:b/>
      <w:color w:val="FF0000"/>
      <w:sz w:val="22"/>
    </w:rPr>
  </w:style>
  <w:style w:type="paragraph" w:styleId="Heading7">
    <w:name w:val="heading 7"/>
    <w:basedOn w:val="Normal"/>
    <w:next w:val="Normal"/>
    <w:qFormat/>
    <w:pPr>
      <w:keepNext w:val="true"/>
      <w:numPr>
        <w:ilvl w:val="6"/>
        <w:numId w:val="1"/>
      </w:numPr>
      <w:ind w:hanging="0" w:start="720" w:end="0"/>
      <w:outlineLvl w:val="6"/>
    </w:pPr>
    <w:rPr>
      <w:b/>
      <w:color w:val="FF0000"/>
      <w:sz w:val="22"/>
    </w:rPr>
  </w:style>
  <w:style w:type="paragraph" w:styleId="Heading8">
    <w:name w:val="heading 8"/>
    <w:basedOn w:val="Normal"/>
    <w:next w:val="Normal"/>
    <w:qFormat/>
    <w:pPr>
      <w:keepNext w:val="true"/>
      <w:numPr>
        <w:ilvl w:val="7"/>
        <w:numId w:val="1"/>
      </w:numPr>
      <w:outlineLvl w:val="7"/>
    </w:pPr>
    <w:rPr>
      <w:b/>
      <w:color w:val="FF0000"/>
      <w:sz w:val="24"/>
    </w:rPr>
  </w:style>
  <w:style w:type="paragraph" w:styleId="Heading9">
    <w:name w:val="heading 9"/>
    <w:basedOn w:val="Normal"/>
    <w:next w:val="Normal"/>
    <w:qFormat/>
    <w:pPr>
      <w:keepNext w:val="true"/>
      <w:numPr>
        <w:ilvl w:val="8"/>
        <w:numId w:val="1"/>
      </w:numPr>
      <w:outlineLvl w:val="8"/>
    </w:pPr>
    <w:rPr>
      <w:sz w:val="24"/>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sz w:val="16"/>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Symbol" w:hAnsi="Symbol" w:cs="Symbol"/>
    </w:rPr>
  </w:style>
  <w:style w:type="character" w:styleId="WW8Num25z0">
    <w:name w:val="WW8Num25z0"/>
    <w:qFormat/>
    <w:rPr>
      <w:rFonts w:ascii="Wingdings" w:hAnsi="Wingdings" w:cs="Wingdings"/>
    </w:rPr>
  </w:style>
  <w:style w:type="character" w:styleId="WW8Num26z0">
    <w:name w:val="WW8Num26z0"/>
    <w:qFormat/>
    <w:rPr>
      <w:rFonts w:ascii="Symbol" w:hAnsi="Symbol" w:cs="Symbol"/>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sz w:val="16"/>
    </w:rPr>
  </w:style>
  <w:style w:type="character" w:styleId="WW8Num32z0">
    <w:name w:val="WW8Num32z0"/>
    <w:qFormat/>
    <w:rPr>
      <w:rFonts w:ascii="Symbol" w:hAnsi="Symbol" w:cs="Symbol"/>
    </w:rPr>
  </w:style>
  <w:style w:type="character" w:styleId="WW8Num33z0">
    <w:name w:val="WW8Num33z0"/>
    <w:qFormat/>
    <w:rPr>
      <w:rFonts w:ascii="Wingdings" w:hAnsi="Wingdings" w:cs="Wingdings"/>
    </w:rPr>
  </w:style>
  <w:style w:type="character" w:styleId="WW8Num34z0">
    <w:name w:val="WW8Num34z0"/>
    <w:qFormat/>
    <w:rPr>
      <w:rFonts w:ascii="Wingdings" w:hAnsi="Wingdings" w:cs="Wingdings"/>
      <w:sz w:val="16"/>
    </w:rPr>
  </w:style>
  <w:style w:type="character" w:styleId="WW8Num35z0">
    <w:name w:val="WW8Num35z0"/>
    <w:qFormat/>
    <w:rPr>
      <w:rFonts w:ascii="Wingdings" w:hAnsi="Wingdings" w:cs="Wingdings"/>
    </w:rPr>
  </w:style>
  <w:style w:type="character" w:styleId="WW8Num36z0">
    <w:name w:val="WW8Num36z0"/>
    <w:qFormat/>
    <w:rPr>
      <w:rFonts w:ascii="Wingdings" w:hAnsi="Wingdings" w:cs="Wingdings"/>
    </w:rPr>
  </w:style>
  <w:style w:type="character" w:styleId="WW8Num37z0">
    <w:name w:val="WW8Num37z0"/>
    <w:qFormat/>
    <w:rPr>
      <w:rFonts w:ascii="Wingdings" w:hAnsi="Wingdings" w:cs="Wingdings"/>
    </w:rPr>
  </w:style>
  <w:style w:type="character" w:styleId="WW8Num38z0">
    <w:name w:val="WW8Num38z0"/>
    <w:qFormat/>
    <w:rPr>
      <w:rFonts w:ascii="Symbol" w:hAnsi="Symbol" w:cs="Symbol"/>
    </w:rPr>
  </w:style>
  <w:style w:type="character" w:styleId="WW8Num39z0">
    <w:name w:val="WW8Num39z0"/>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rFonts w:ascii="Wingdings" w:hAnsi="Wingdings" w:cs="Wingdings"/>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Wingdings" w:hAnsi="Wingdings" w:cs="Wingdings"/>
    </w:rPr>
  </w:style>
  <w:style w:type="character" w:styleId="WW8Num47z0">
    <w:name w:val="WW8Num47z0"/>
    <w:qFormat/>
    <w:rPr>
      <w:rFonts w:ascii="Symbol" w:hAnsi="Symbol" w:cs="Symbol"/>
    </w:rPr>
  </w:style>
  <w:style w:type="character" w:styleId="WW8Num48z0">
    <w:name w:val="WW8Num48z0"/>
    <w:qFormat/>
    <w:rPr>
      <w:rFonts w:ascii="Wingdings" w:hAnsi="Wingdings" w:cs="Wingdings"/>
    </w:rPr>
  </w:style>
  <w:style w:type="character" w:styleId="WW8Num49z0">
    <w:name w:val="WW8Num49z0"/>
    <w:qFormat/>
    <w:rPr>
      <w:rFonts w:ascii="Symbol" w:hAnsi="Symbol" w:cs="Symbol"/>
    </w:rPr>
  </w:style>
  <w:style w:type="character" w:styleId="WW8Num50z0">
    <w:name w:val="WW8Num50z0"/>
    <w:qFormat/>
    <w:rPr>
      <w:rFonts w:ascii="Wingdings" w:hAnsi="Wingdings" w:cs="Wingdings"/>
      <w:sz w:val="16"/>
    </w:rPr>
  </w:style>
  <w:style w:type="character" w:styleId="WW8Num51z0">
    <w:name w:val="WW8Num51z0"/>
    <w:qFormat/>
    <w:rPr>
      <w:rFonts w:ascii="Wingdings" w:hAnsi="Wingdings" w:cs="Wingdings"/>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Wingdings" w:hAnsi="Wingdings" w:cs="Wingdings"/>
      <w:sz w:val="16"/>
    </w:rPr>
  </w:style>
  <w:style w:type="character" w:styleId="WW8Num55z0">
    <w:name w:val="WW8Num55z0"/>
    <w:qFormat/>
    <w:rPr>
      <w:rFonts w:ascii="Wingdings" w:hAnsi="Wingdings" w:cs="Wingdings"/>
      <w:sz w:val="16"/>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Wingdings" w:hAnsi="Wingdings" w:cs="Wingdings"/>
    </w:rPr>
  </w:style>
  <w:style w:type="character" w:styleId="WW8Num60z0">
    <w:name w:val="WW8Num60z0"/>
    <w:qFormat/>
    <w:rPr>
      <w:rFonts w:ascii="Wingdings" w:hAnsi="Wingdings" w:cs="Wingdings"/>
      <w:sz w:val="16"/>
    </w:rPr>
  </w:style>
  <w:style w:type="character" w:styleId="WW8Num61z0">
    <w:name w:val="WW8Num61z0"/>
    <w:qFormat/>
    <w:rPr>
      <w:rFonts w:ascii="Wingdings" w:hAnsi="Wingdings" w:cs="Wingdings"/>
      <w:sz w:val="16"/>
    </w:rPr>
  </w:style>
  <w:style w:type="character" w:styleId="WW8Num63z0">
    <w:name w:val="WW8Num63z0"/>
    <w:qFormat/>
    <w:rPr>
      <w:rFonts w:ascii="Wingdings" w:hAnsi="Wingdings" w:cs="Wingdings"/>
      <w:sz w:val="16"/>
    </w:rPr>
  </w:style>
  <w:style w:type="character" w:styleId="WW8Num64z0">
    <w:name w:val="WW8Num64z0"/>
    <w:qFormat/>
    <w:rPr>
      <w:rFonts w:ascii="Wingdings" w:hAnsi="Wingdings" w:cs="Wingdings"/>
      <w:sz w:val="16"/>
    </w:rPr>
  </w:style>
  <w:style w:type="character" w:styleId="WW8Num65z0">
    <w:name w:val="WW8Num65z0"/>
    <w:qFormat/>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sz w:val="24"/>
    </w:rPr>
  </w:style>
  <w:style w:type="character" w:styleId="WW8Num74z0">
    <w:name w:val="WW8Num74z0"/>
    <w:qFormat/>
    <w:rPr/>
  </w:style>
  <w:style w:type="character" w:styleId="WW8Num75z0">
    <w:name w:val="WW8Num75z0"/>
    <w:qFormat/>
    <w:rPr/>
  </w:style>
  <w:style w:type="character" w:styleId="WW8Num76z0">
    <w:name w:val="WW8Num76z0"/>
    <w:qFormat/>
    <w:rPr>
      <w:rFonts w:ascii="Wingdings" w:hAnsi="Wingdings" w:cs="Wingdings"/>
      <w:sz w:val="16"/>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Wingdings" w:hAnsi="Wingdings" w:cs="Wingdings"/>
    </w:rPr>
  </w:style>
  <w:style w:type="character" w:styleId="WW8Num81z0">
    <w:name w:val="WW8Num81z0"/>
    <w:qFormat/>
    <w:rPr/>
  </w:style>
  <w:style w:type="character" w:styleId="WW8Num82z0">
    <w:name w:val="WW8Num82z0"/>
    <w:qFormat/>
    <w:rPr/>
  </w:style>
  <w:style w:type="character" w:styleId="WW8Num83z0">
    <w:name w:val="WW8Num83z0"/>
    <w:qFormat/>
    <w:rPr>
      <w:rFonts w:ascii="Wingdings" w:hAnsi="Wingdings" w:cs="Wingdings"/>
    </w:rPr>
  </w:style>
  <w:style w:type="character" w:styleId="WW8Num84z0">
    <w:name w:val="WW8Num84z0"/>
    <w:qFormat/>
    <w:rPr>
      <w:rFonts w:ascii="Wingdings" w:hAnsi="Wingdings" w:cs="Wingdings"/>
      <w:sz w:val="16"/>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Wingdings" w:hAnsi="Wingdings" w:cs="Wingdings"/>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Wingdings" w:hAnsi="Wingdings" w:cs="Wingdings"/>
    </w:rPr>
  </w:style>
  <w:style w:type="character" w:styleId="WW8Num92z0">
    <w:name w:val="WW8Num92z0"/>
    <w:qFormat/>
    <w:rPr>
      <w:rFonts w:ascii="Symbol" w:hAnsi="Symbol" w:cs="Symbol"/>
    </w:rPr>
  </w:style>
  <w:style w:type="character" w:styleId="WW8Num93z0">
    <w:name w:val="WW8Num93z0"/>
    <w:qFormat/>
    <w:rPr>
      <w:rFonts w:ascii="Wingdings" w:hAnsi="Wingdings" w:cs="Wingdings"/>
    </w:rPr>
  </w:style>
  <w:style w:type="character" w:styleId="WW8Num94z0">
    <w:name w:val="WW8Num94z0"/>
    <w:qFormat/>
    <w:rPr>
      <w:rFonts w:ascii="Wingdings" w:hAnsi="Wingdings" w:cs="Wingdings"/>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Wingdings" w:hAnsi="Wingdings" w:cs="Wingdings"/>
    </w:rPr>
  </w:style>
  <w:style w:type="character" w:styleId="WW8Num98z0">
    <w:name w:val="WW8Num98z0"/>
    <w:qFormat/>
    <w:rPr>
      <w:rFonts w:ascii="Symbol" w:hAnsi="Symbol" w:cs="Symbol"/>
    </w:rPr>
  </w:style>
  <w:style w:type="character" w:styleId="WW8Num99z0">
    <w:name w:val="WW8Num99z0"/>
    <w:qFormat/>
    <w:rPr>
      <w:rFonts w:ascii="Wingdings" w:hAnsi="Wingdings" w:cs="Wingdings"/>
    </w:rPr>
  </w:style>
  <w:style w:type="character" w:styleId="WW8Num100z0">
    <w:name w:val="WW8Num100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Wingdings" w:hAnsi="Wingdings" w:cs="Wingdings"/>
      <w:sz w:val="16"/>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Wingdings" w:hAnsi="Wingdings" w:cs="Wingdings"/>
    </w:rPr>
  </w:style>
  <w:style w:type="character" w:styleId="WW8Num110z0">
    <w:name w:val="WW8Num110z0"/>
    <w:qFormat/>
    <w:rPr>
      <w:rFonts w:ascii="Symbol" w:hAnsi="Symbol" w:cs="Symbol"/>
    </w:rPr>
  </w:style>
  <w:style w:type="character" w:styleId="WW8Num111z0">
    <w:name w:val="WW8Num111z0"/>
    <w:qFormat/>
    <w:rPr>
      <w:rFonts w:ascii="Wingdings" w:hAnsi="Wingdings" w:cs="Wingdings"/>
      <w:sz w:val="16"/>
    </w:rPr>
  </w:style>
  <w:style w:type="character" w:styleId="WW8Num112z0">
    <w:name w:val="WW8Num112z0"/>
    <w:qFormat/>
    <w:rPr>
      <w:rFonts w:ascii="Symbol" w:hAnsi="Symbol" w:cs="Symbol"/>
    </w:rPr>
  </w:style>
  <w:style w:type="character" w:styleId="WW8Num113z0">
    <w:name w:val="WW8Num113z0"/>
    <w:qFormat/>
    <w:rPr>
      <w:rFonts w:ascii="Wingdings" w:hAnsi="Wingdings" w:cs="Wingdings"/>
    </w:rPr>
  </w:style>
  <w:style w:type="character" w:styleId="WW8Num114z0">
    <w:name w:val="WW8Num114z0"/>
    <w:qFormat/>
    <w:rPr>
      <w:rFonts w:ascii="Symbol" w:hAnsi="Symbol" w:cs="Symbol"/>
    </w:rPr>
  </w:style>
  <w:style w:type="character" w:styleId="WW8Num115z0">
    <w:name w:val="WW8Num115z0"/>
    <w:qFormat/>
    <w:rPr/>
  </w:style>
  <w:style w:type="character" w:styleId="WW8Num116z0">
    <w:name w:val="WW8Num116z0"/>
    <w:qFormat/>
    <w:rPr>
      <w:rFonts w:ascii="Wingdings" w:hAnsi="Wingdings" w:cs="Wingdings"/>
    </w:rPr>
  </w:style>
  <w:style w:type="character" w:styleId="WW8Num117z0">
    <w:name w:val="WW8Num117z0"/>
    <w:qFormat/>
    <w:rPr>
      <w:rFonts w:ascii="Wingdings" w:hAnsi="Wingdings" w:cs="Wingdings"/>
    </w:rPr>
  </w:style>
  <w:style w:type="character" w:styleId="WW8Num119z0">
    <w:name w:val="WW8Num119z0"/>
    <w:qFormat/>
    <w:rPr>
      <w:rFonts w:ascii="Wingdings" w:hAnsi="Wingdings" w:cs="Wingdings"/>
    </w:rPr>
  </w:style>
  <w:style w:type="character" w:styleId="WW8Num120z0">
    <w:name w:val="WW8Num120z0"/>
    <w:qFormat/>
    <w:rPr>
      <w:rFonts w:ascii="Symbol" w:hAnsi="Symbol" w:cs="Symbol"/>
    </w:rPr>
  </w:style>
  <w:style w:type="character" w:styleId="WW8Num121z0">
    <w:name w:val="WW8Num121z0"/>
    <w:qFormat/>
    <w:rPr>
      <w:rFonts w:ascii="Wingdings" w:hAnsi="Wingdings" w:cs="Wingdings"/>
    </w:rPr>
  </w:style>
  <w:style w:type="character" w:styleId="WW8Num122z0">
    <w:name w:val="WW8Num122z0"/>
    <w:qFormat/>
    <w:rPr>
      <w:rFonts w:ascii="Wingdings" w:hAnsi="Wingdings" w:cs="Wingdings"/>
    </w:rPr>
  </w:style>
  <w:style w:type="character" w:styleId="WW8Num124z0">
    <w:name w:val="WW8Num124z0"/>
    <w:qFormat/>
    <w:rPr>
      <w:rFonts w:ascii="Wingdings" w:hAnsi="Wingdings" w:cs="Wingdings"/>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Wingdings" w:hAnsi="Wingdings" w:cs="Wingdings"/>
    </w:rPr>
  </w:style>
  <w:style w:type="character" w:styleId="WW8Num132z0">
    <w:name w:val="WW8Num132z0"/>
    <w:qFormat/>
    <w:rPr/>
  </w:style>
  <w:style w:type="character" w:styleId="WW8Num133z0">
    <w:name w:val="WW8Num133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color w:val="FF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b/>
      <w:color w:val="FF0000"/>
      <w:sz w:val="24"/>
    </w:rPr>
  </w:style>
  <w:style w:type="paragraph" w:styleId="BodyText2">
    <w:name w:val="Body Text 2"/>
    <w:basedOn w:val="Normal"/>
    <w:qFormat/>
    <w:pPr/>
    <w:rPr>
      <w:b/>
      <w:sz w:val="22"/>
    </w:rPr>
  </w:style>
  <w:style w:type="paragraph" w:styleId="BodyText3">
    <w:name w:val="Body Text 3"/>
    <w:basedOn w:val="Normal"/>
    <w:qFormat/>
    <w:pPr/>
    <w:rPr>
      <w:b/>
      <w:sz w:val="28"/>
    </w:rPr>
  </w:style>
  <w:style w:type="paragraph" w:styleId="BodyTextIndent2">
    <w:name w:val="Body Text Indent 2"/>
    <w:basedOn w:val="Normal"/>
    <w:qFormat/>
    <w:pPr>
      <w:ind w:hanging="0" w:start="720" w:end="0"/>
    </w:pPr>
    <w:rPr>
      <w:b/>
      <w:color w:val="FF0000"/>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2000-12-19T22:10:00Z</dcterms:created>
  <dc:creator>wcurry</dc:creator>
  <dc:description/>
  <dc:language>en-CA</dc:language>
  <cp:lastModifiedBy>wcurry</cp:lastModifiedBy>
  <cp:lastPrinted>2000-12-19T20:02:00Z</cp:lastPrinted>
  <dcterms:modified xsi:type="dcterms:W3CDTF">2000-12-19T23:54:00Z</dcterms:modified>
  <cp:revision>16</cp:revision>
  <dc:subject/>
  <dc:title>California Markets Focus Group</dc:title>
</cp:coreProperties>
</file>