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California Markets Focus Group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December 15,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California Markets Focus Group</w:t>
        <w:tab/>
        <w:tab/>
        <w:tab/>
        <w:tab/>
        <w:t>Wanda Curry/M. Eggleston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 xml:space="preserve">Role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Report-Out Responsibility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Daily Meetings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 xml:space="preserve">Concept of Team Leads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Market Overview – Wholesale</w:t>
        <w:tab/>
        <w:tab/>
        <w:tab/>
        <w:tab/>
        <w:t>Don Black/ D.Benevides</w:t>
      </w:r>
    </w:p>
    <w:p>
      <w:pPr>
        <w:pStyle w:val="Normal"/>
        <w:numPr>
          <w:ilvl w:val="0"/>
          <w:numId w:val="41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COB</w:t>
      </w:r>
    </w:p>
    <w:p>
      <w:pPr>
        <w:pStyle w:val="Heading1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Palo Verde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Retail Position and Curve Review </w:t>
        <w:tab/>
        <w:tab/>
        <w:tab/>
        <w:tab/>
        <w:t>Scott Stoness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Position and VAR Discussion</w:t>
        <w:tab/>
        <w:tab/>
        <w:tab/>
        <w:tab/>
        <w:t>Risk Mgmt/ RAC</w:t>
        <w:tab/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Determine Sensitivities to Market Change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Credit Monitoring</w:t>
        <w:tab/>
        <w:tab/>
        <w:tab/>
        <w:tab/>
        <w:tab/>
        <w:tab/>
        <w:t>RAC/W. Prihoda</w:t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 xml:space="preserve">California Utilities – Exposure by Utility </w:t>
      </w:r>
    </w:p>
    <w:p>
      <w:pPr>
        <w:pStyle w:val="Heading2"/>
        <w:numPr>
          <w:ilvl w:val="0"/>
          <w:numId w:val="30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Other Trading Counterparties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Review of  Exposures with Customers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Understand Credit Provisions in Contracts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 xml:space="preserve">Aggregation at the Enron Corp level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 xml:space="preserve">Financial </w:t>
        <w:tab/>
        <w:tab/>
        <w:tab/>
        <w:tab/>
        <w:tab/>
        <w:tab/>
        <w:tab/>
        <w:t>K. Hughes/M.Eggleston</w:t>
        <w:tab/>
      </w:r>
    </w:p>
    <w:p>
      <w:pPr>
        <w:pStyle w:val="Heading1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sz w:val="22"/>
        </w:rPr>
        <w:t>External Reporting Information Requirements</w:t>
      </w:r>
    </w:p>
    <w:p>
      <w:pPr>
        <w:pStyle w:val="Heading3"/>
        <w:numPr>
          <w:ilvl w:val="0"/>
          <w:numId w:val="1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MTM P&amp;L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Origination/VEG</w:t>
        <w:tab/>
        <w:tab/>
        <w:tab/>
        <w:tab/>
        <w:tab/>
        <w:tab/>
        <w:t>E. Melvin/S. Gahn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Impact on Deals in Pipeline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Other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EAM</w:t>
        <w:tab/>
        <w:tab/>
        <w:tab/>
        <w:tab/>
        <w:tab/>
        <w:tab/>
        <w:tab/>
        <w:tab/>
        <w:t>D. Roberts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Value Change in EAM option portfolio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/>
      </w:pPr>
      <w:r>
        <w:rPr/>
        <w:t>Regulatory Affairs</w:t>
        <w:tab/>
        <w:tab/>
        <w:tab/>
        <w:tab/>
        <w:tab/>
        <w:tab/>
        <w:t xml:space="preserve">Jeff Dasovich 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Current rate filings by the California Utilities</w:t>
      </w:r>
    </w:p>
    <w:p>
      <w:pPr>
        <w:pStyle w:val="Normal"/>
        <w:numPr>
          <w:ilvl w:val="0"/>
          <w:numId w:val="4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What actions does Enron what to take</w:t>
      </w:r>
    </w:p>
    <w:p>
      <w:pPr>
        <w:pStyle w:val="Normal"/>
        <w:numPr>
          <w:ilvl w:val="0"/>
          <w:numId w:val="4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Ways to mitigate exposure</w:t>
      </w:r>
      <w:r>
        <w:br w:type="page"/>
      </w:r>
    </w:p>
    <w:p>
      <w:pPr>
        <w:pStyle w:val="Heading1"/>
        <w:ind w:hanging="0" w:start="0"/>
        <w:jc w:val="center"/>
        <w:rPr/>
      </w:pPr>
      <w:r>
        <w:rPr/>
        <w:t>California Markets Focus Group</w:t>
      </w:r>
    </w:p>
    <w:p>
      <w:pPr>
        <w:pStyle w:val="Heading4"/>
        <w:ind w:hanging="0" w:start="0"/>
        <w:rPr/>
      </w:pPr>
      <w:r>
        <w:rPr/>
        <w:t>December 15,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Attending: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Wanda Curry </w:t>
        <w:tab/>
        <w:tab/>
        <w:t>713-853-3411</w:t>
        <w:tab/>
        <w:tab/>
        <w:t>Risk Controls &amp; Operations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Meredith Eggleston </w:t>
        <w:tab/>
        <w:tab/>
        <w:t>713-853-3326</w:t>
        <w:tab/>
        <w:tab/>
        <w:t>Risk Controls &amp; Operations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Gordan Savage </w:t>
        <w:tab/>
        <w:tab/>
        <w:t>713-345-4166</w:t>
        <w:tab/>
        <w:tab/>
        <w:t>Utility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Harry Kingerski</w:t>
        <w:tab/>
        <w:tab/>
        <w:t>713-853-5786</w:t>
        <w:tab/>
        <w:tab/>
        <w:t>Governmental Affairs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Vicki Sharp</w:t>
        <w:tab/>
        <w:tab/>
        <w:tab/>
        <w:t>713-853-7413</w:t>
        <w:tab/>
        <w:tab/>
        <w:t>Legal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Mike D. Smith</w:t>
        <w:tab/>
        <w:tab/>
        <w:t>713-853-9503</w:t>
        <w:tab/>
        <w:tab/>
        <w:t>Legal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Neil Hong</w:t>
        <w:tab/>
        <w:tab/>
        <w:tab/>
        <w:t>713-853-9526</w:t>
        <w:tab/>
        <w:tab/>
        <w:t>Risk Control &amp; Operations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Ken Gustafson</w:t>
        <w:tab/>
        <w:tab/>
        <w:t>713-345-8445</w:t>
        <w:tab/>
        <w:tab/>
        <w:t>GNO Commodity Structuring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Ed Sacks</w:t>
        <w:tab/>
        <w:tab/>
        <w:tab/>
        <w:t>713-345-7712</w:t>
        <w:tab/>
        <w:tab/>
        <w:t>RAC Credit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Neil Bresnan </w:t>
        <w:tab/>
        <w:tab/>
        <w:tab/>
        <w:t>713-853-3113</w:t>
        <w:tab/>
        <w:tab/>
        <w:t>Commodity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Dennis Benevides (Phone)</w:t>
        <w:tab/>
        <w:t>713-853-9609</w:t>
        <w:tab/>
        <w:tab/>
        <w:t>Commodity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Jeff Dasovich</w:t>
        <w:tab/>
        <w:t>(Phone)</w:t>
        <w:tab/>
        <w:t>415-782-7822</w:t>
        <w:tab/>
        <w:tab/>
        <w:t>Governmental Affairs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Not Attending: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James W Lewis</w:t>
        <w:tab/>
        <w:tab/>
        <w:tab/>
        <w:tab/>
        <w:tab/>
        <w:t>Commodity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Don Black</w:t>
        <w:tab/>
        <w:tab/>
        <w:tab/>
        <w:tab/>
        <w:tab/>
        <w:tab/>
        <w:t>Commodity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Scott Stoness</w:t>
        <w:tab/>
        <w:tab/>
        <w:tab/>
        <w:tab/>
        <w:tab/>
        <w:tab/>
        <w:t>Utility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Tony Spruiell</w:t>
        <w:tab/>
        <w:tab/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Evan Hughes</w:t>
        <w:tab/>
        <w:tab/>
        <w:tab/>
        <w:tab/>
        <w:tab/>
        <w:tab/>
        <w:t>Risk Controls &amp; Operations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Jess Hewitt</w:t>
        <w:tab/>
        <w:tab/>
        <w:tab/>
        <w:tab/>
        <w:tab/>
        <w:tab/>
        <w:t>Commodity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Vladimir Gorny</w:t>
        <w:tab/>
        <w:tab/>
        <w:tab/>
        <w:tab/>
        <w:tab/>
        <w:t>RAC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William S. Bradford</w:t>
        <w:tab/>
        <w:tab/>
        <w:tab/>
        <w:tab/>
        <w:tab/>
        <w:t>RAC - Credit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Eric Melvin</w:t>
        <w:tab/>
        <w:tab/>
        <w:tab/>
        <w:tab/>
        <w:tab/>
        <w:tab/>
        <w:t>VEG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Gayle Muench</w:t>
        <w:tab/>
        <w:tab/>
        <w:tab/>
        <w:tab/>
        <w:tab/>
        <w:t>Origination</w:t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Scott Gahn</w:t>
        <w:tab/>
        <w:tab/>
        <w:tab/>
        <w:tab/>
        <w:tab/>
        <w:tab/>
        <w:t>Origination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Dave Roberts</w:t>
        <w:tab/>
        <w:tab/>
        <w:tab/>
        <w:tab/>
        <w:tab/>
        <w:tab/>
        <w:t>EAM 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  <w:r>
        <w:br w:type="page"/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 xml:space="preserve">California Markets Focus Group </w:t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December 15, 2000</w:t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Meeting Notes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numPr>
          <w:ilvl w:val="0"/>
          <w:numId w:val="39"/>
        </w:numPr>
        <w:rPr>
          <w:sz w:val="22"/>
        </w:rPr>
      </w:pPr>
      <w:r>
        <w:rPr>
          <w:sz w:val="22"/>
        </w:rPr>
        <w:t>Market Overview – Wholesale</w:t>
        <w:tab/>
        <w:tab/>
        <w:tab/>
        <w:tab/>
        <w:t xml:space="preserve"> Dennis Benevides</w:t>
      </w:r>
    </w:p>
    <w:p>
      <w:pPr>
        <w:pStyle w:val="Normal"/>
        <w:numPr>
          <w:ilvl w:val="0"/>
          <w:numId w:val="41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COB</w:t>
      </w:r>
    </w:p>
    <w:p>
      <w:pPr>
        <w:pStyle w:val="Heading1"/>
        <w:numPr>
          <w:ilvl w:val="0"/>
          <w:numId w:val="2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Palo Verde</w:t>
      </w:r>
    </w:p>
    <w:p>
      <w:pPr>
        <w:pStyle w:val="Normal"/>
        <w:numPr>
          <w:ilvl w:val="0"/>
          <w:numId w:val="33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Other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Update:</w:t>
      </w:r>
    </w:p>
    <w:p>
      <w:pPr>
        <w:pStyle w:val="Heading1"/>
        <w:numPr>
          <w:ilvl w:val="0"/>
          <w:numId w:val="11"/>
        </w:numPr>
        <w:rPr>
          <w:color w:val="FF0000"/>
          <w:sz w:val="22"/>
        </w:rPr>
      </w:pPr>
      <w:r>
        <w:rPr>
          <w:color w:val="FF0000"/>
          <w:sz w:val="22"/>
        </w:rPr>
        <w:t>Main concern is the lack of liquidity in the term markets</w:t>
      </w:r>
    </w:p>
    <w:p>
      <w:pPr>
        <w:pStyle w:val="Heading5"/>
        <w:numPr>
          <w:ilvl w:val="0"/>
          <w:numId w:val="34"/>
        </w:numPr>
        <w:rPr>
          <w:b/>
          <w:sz w:val="22"/>
        </w:rPr>
      </w:pPr>
      <w:r>
        <w:rPr>
          <w:b/>
          <w:sz w:val="22"/>
        </w:rPr>
        <w:t>FERC announcement scheduled for 2:00 today.  Need to monitor impact on markets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numPr>
          <w:ilvl w:val="0"/>
          <w:numId w:val="39"/>
        </w:numPr>
        <w:rPr>
          <w:sz w:val="22"/>
        </w:rPr>
      </w:pPr>
      <w:r>
        <w:rPr>
          <w:sz w:val="22"/>
        </w:rPr>
        <w:t xml:space="preserve">Retail Position and Curve Review </w:t>
        <w:tab/>
        <w:tab/>
        <w:tab/>
        <w:t>Gordan Savage</w:t>
        <w:tab/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ab/>
      </w:r>
    </w:p>
    <w:p>
      <w:pPr>
        <w:pStyle w:val="Heading1"/>
        <w:ind w:hanging="0" w:start="0"/>
        <w:rPr>
          <w:color w:val="FF0000"/>
          <w:sz w:val="22"/>
        </w:rPr>
      </w:pPr>
      <w:r>
        <w:rPr>
          <w:color w:val="FF0000"/>
          <w:sz w:val="22"/>
        </w:rPr>
        <w:t>Update: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The five primary factors influencing a change in retail curves are:</w:t>
      </w:r>
    </w:p>
    <w:p>
      <w:pPr>
        <w:pStyle w:val="Normal"/>
        <w:numPr>
          <w:ilvl w:val="0"/>
          <w:numId w:val="42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Need for tariffs to remain frozen until December, 2001</w:t>
      </w:r>
    </w:p>
    <w:p>
      <w:pPr>
        <w:pStyle w:val="Normal"/>
        <w:numPr>
          <w:ilvl w:val="0"/>
          <w:numId w:val="42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No rate increase </w:t>
      </w:r>
    </w:p>
    <w:p>
      <w:pPr>
        <w:pStyle w:val="Normal"/>
        <w:numPr>
          <w:ilvl w:val="0"/>
          <w:numId w:val="42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PX credit calculation methodology</w:t>
      </w:r>
    </w:p>
    <w:p>
      <w:pPr>
        <w:pStyle w:val="Normal"/>
        <w:numPr>
          <w:ilvl w:val="0"/>
          <w:numId w:val="42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Mechanism for long-term bail-out of utilities</w:t>
      </w:r>
    </w:p>
    <w:p>
      <w:pPr>
        <w:pStyle w:val="Normal"/>
        <w:numPr>
          <w:ilvl w:val="0"/>
          <w:numId w:val="42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Requirement to obtain any benefits in the short-term and costs over the long term.   Position decreases over time.  Would recommend utilities recovery mechanism to be considered a “tax”.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Follow-up:</w:t>
      </w:r>
    </w:p>
    <w:p>
      <w:pPr>
        <w:pStyle w:val="Normal"/>
        <w:numPr>
          <w:ilvl w:val="0"/>
          <w:numId w:val="20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Provide sensitivities to changes in curves.</w:t>
      </w:r>
    </w:p>
    <w:p>
      <w:pPr>
        <w:pStyle w:val="Normal"/>
        <w:numPr>
          <w:ilvl w:val="0"/>
          <w:numId w:val="20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Communicate with Governmental Affairs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numPr>
          <w:ilvl w:val="0"/>
          <w:numId w:val="39"/>
        </w:numPr>
        <w:rPr>
          <w:b/>
          <w:sz w:val="22"/>
        </w:rPr>
      </w:pPr>
      <w:r>
        <w:rPr>
          <w:b/>
          <w:sz w:val="22"/>
        </w:rPr>
        <w:t>Position and VAR Discussion</w:t>
        <w:tab/>
        <w:tab/>
        <w:tab/>
        <w:tab/>
        <w:t>D. Benevides/ K. Gustafson</w:t>
      </w:r>
    </w:p>
    <w:p>
      <w:pPr>
        <w:pStyle w:val="Normal"/>
        <w:numPr>
          <w:ilvl w:val="0"/>
          <w:numId w:val="28"/>
        </w:numPr>
        <w:rPr>
          <w:b/>
          <w:sz w:val="22"/>
        </w:rPr>
      </w:pPr>
      <w:r>
        <w:rPr>
          <w:b/>
          <w:sz w:val="22"/>
        </w:rPr>
        <w:t>Determine Sensitivities to Market Change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Update:</w:t>
      </w:r>
    </w:p>
    <w:p>
      <w:pPr>
        <w:pStyle w:val="Normal"/>
        <w:numPr>
          <w:ilvl w:val="0"/>
          <w:numId w:val="37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VAR at 12/14/00 around $6MM which is under the Temporary VAR Limit of $7MM</w:t>
      </w:r>
    </w:p>
    <w:p>
      <w:pPr>
        <w:pStyle w:val="Normal"/>
        <w:numPr>
          <w:ilvl w:val="0"/>
          <w:numId w:val="37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Temporary VAR Limit expires today 12/15/00</w:t>
      </w:r>
    </w:p>
    <w:p>
      <w:pPr>
        <w:pStyle w:val="Normal"/>
        <w:numPr>
          <w:ilvl w:val="0"/>
          <w:numId w:val="37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Looking for ways to reduce VAR in East to lower VAR to $5MM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Follow-up:</w:t>
      </w:r>
    </w:p>
    <w:p>
      <w:pPr>
        <w:pStyle w:val="BodyTextIndent"/>
        <w:numPr>
          <w:ilvl w:val="0"/>
          <w:numId w:val="21"/>
        </w:numPr>
        <w:rPr>
          <w:sz w:val="22"/>
        </w:rPr>
      </w:pPr>
      <w:r>
        <w:rPr>
          <w:sz w:val="22"/>
        </w:rPr>
        <w:t>The Owens Illinois transaction expected to close this quarter has a VAR of approximately $3MM VAR</w:t>
      </w:r>
    </w:p>
    <w:p>
      <w:pPr>
        <w:pStyle w:val="Normal"/>
        <w:numPr>
          <w:ilvl w:val="0"/>
          <w:numId w:val="21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Need to obtain another temporary increase upon closing of transaction </w:t>
      </w:r>
    </w:p>
    <w:p>
      <w:pPr>
        <w:pStyle w:val="Normal"/>
        <w:numPr>
          <w:ilvl w:val="0"/>
          <w:numId w:val="21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>Need to monitor the VAR associated with Owens Illinois – new pricing scenario under consideration per Ken Gustafson.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4.  Credit Monitoring</w:t>
        <w:tab/>
        <w:tab/>
        <w:tab/>
        <w:tab/>
        <w:tab/>
        <w:t>Ed Sacks/Vicki Sharp</w:t>
        <w:tab/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 xml:space="preserve">California Utilities – Exposure by Utility </w:t>
      </w:r>
    </w:p>
    <w:p>
      <w:pPr>
        <w:pStyle w:val="Heading2"/>
        <w:numPr>
          <w:ilvl w:val="0"/>
          <w:numId w:val="30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Other Trading Counterparties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Review of  Exposures with Customers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Understand Credit Provisions in Contracts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 xml:space="preserve">Aggregation at the Enron Corp level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Update:</w:t>
      </w:r>
    </w:p>
    <w:p>
      <w:pPr>
        <w:pStyle w:val="Normal"/>
        <w:numPr>
          <w:ilvl w:val="0"/>
          <w:numId w:val="29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Identified the need to monitor credit exposure for California PX and ISO.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Jeff Dasovich to investigate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Are the utilities settling with the PX and ISO?</w:t>
      </w:r>
    </w:p>
    <w:p>
      <w:pPr>
        <w:pStyle w:val="Normal"/>
        <w:numPr>
          <w:ilvl w:val="0"/>
          <w:numId w:val="29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PG&amp;E update –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expecting approximately $124MM by 12/21/00 for credits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received parent company guarantee for $ 300MM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EES should not be entering into new transactions with PG&amp;E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ENA new transactions should be either short-term (3months) or offsetting positions</w:t>
      </w:r>
    </w:p>
    <w:p>
      <w:pPr>
        <w:pStyle w:val="Normal"/>
        <w:ind w:start="720" w:end="0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Heading6"/>
        <w:ind w:hanging="0" w:start="0"/>
        <w:rPr/>
      </w:pPr>
      <w:r>
        <w:rPr/>
        <w:t>Follow-up:</w:t>
      </w:r>
    </w:p>
    <w:p>
      <w:pPr>
        <w:pStyle w:val="Heading7"/>
        <w:rPr/>
      </w:pPr>
      <w:r>
        <w:rPr/>
        <w:t>Provide analysis and information as identified above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5.  Financial </w:t>
        <w:tab/>
        <w:tab/>
        <w:tab/>
        <w:tab/>
        <w:tab/>
        <w:tab/>
        <w:tab/>
        <w:t>Wanda Curry/Neil Hong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External Reporting Information Requirements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 xml:space="preserve">Monitor MTM P&amp;L </w:t>
      </w:r>
    </w:p>
    <w:p>
      <w:pPr>
        <w:pStyle w:val="Normal"/>
        <w:ind w:start="3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Update:</w:t>
      </w:r>
    </w:p>
    <w:p>
      <w:pPr>
        <w:pStyle w:val="Normal"/>
        <w:numPr>
          <w:ilvl w:val="0"/>
          <w:numId w:val="44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Continue to work with CAO to determine requirements for external reporting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6.  Origination/VEG</w:t>
        <w:tab/>
        <w:tab/>
        <w:tab/>
        <w:tab/>
        <w:tab/>
        <w:tab/>
        <w:t>Ken Gustafson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Impact on deals in pipeline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b/>
          <w:sz w:val="22"/>
        </w:rPr>
        <w:t>Other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Update:</w:t>
        <w:tab/>
      </w:r>
    </w:p>
    <w:p>
      <w:pPr>
        <w:pStyle w:val="Normal"/>
        <w:numPr>
          <w:ilvl w:val="0"/>
          <w:numId w:val="27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Identified 4</w:t>
      </w:r>
      <w:r>
        <w:rPr>
          <w:b/>
          <w:color w:val="FF0000"/>
          <w:sz w:val="22"/>
          <w:vertAlign w:val="superscript"/>
        </w:rPr>
        <w:t>th</w:t>
      </w:r>
      <w:r>
        <w:rPr>
          <w:b/>
          <w:color w:val="FF0000"/>
          <w:sz w:val="22"/>
        </w:rPr>
        <w:t xml:space="preserve"> Quarter transactions dependent on California curves</w:t>
        <w:tab/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Owens Illinois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General Growth Properties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JC Penney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Macerich-Ontario Teachers (unwind) 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Pilkington</w:t>
        <w:tab/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  <w:t>Follow-up:</w:t>
      </w:r>
    </w:p>
    <w:p>
      <w:pPr>
        <w:pStyle w:val="Normal"/>
        <w:numPr>
          <w:ilvl w:val="0"/>
          <w:numId w:val="35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Need to coordinate between Risk Management, Legal and Origination for the following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Which Index should be used in the Owens Corning Contract?  Can we hedge this exposure?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If our future cost to serve contract is dependent upon tariff rates,  language should be added to allow EES to cancel contract or re-negotiate pricing as a result of material regulatory changes</w:t>
      </w:r>
      <w:r>
        <w:br w:type="page"/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7.  EAM </w:t>
        <w:tab/>
        <w:tab/>
        <w:tab/>
        <w:tab/>
        <w:tab/>
        <w:tab/>
        <w:tab/>
        <w:t>Meredith Eggleston</w:t>
      </w:r>
    </w:p>
    <w:p>
      <w:pPr>
        <w:pStyle w:val="Normal"/>
        <w:numPr>
          <w:ilvl w:val="0"/>
          <w:numId w:val="12"/>
        </w:numPr>
        <w:rPr>
          <w:b/>
          <w:sz w:val="22"/>
        </w:rPr>
      </w:pPr>
      <w:r>
        <w:rPr>
          <w:b/>
          <w:sz w:val="22"/>
        </w:rPr>
        <w:t>Value change in EAM option portfolio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>
          <w:sz w:val="22"/>
        </w:rPr>
      </w:pPr>
      <w:r>
        <w:rPr>
          <w:sz w:val="22"/>
        </w:rPr>
        <w:t>Follow-up:</w:t>
      </w:r>
    </w:p>
    <w:p>
      <w:pPr>
        <w:pStyle w:val="Normal"/>
        <w:numPr>
          <w:ilvl w:val="0"/>
          <w:numId w:val="25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Need to determine impact of on EAM options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8.  Regulatory Affairs</w:t>
        <w:tab/>
        <w:tab/>
        <w:tab/>
        <w:tab/>
        <w:tab/>
        <w:tab/>
        <w:t xml:space="preserve">Jeff Dasovich 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Current rate filings by the California Utilities</w:t>
      </w:r>
    </w:p>
    <w:p>
      <w:pPr>
        <w:pStyle w:val="Normal"/>
        <w:numPr>
          <w:ilvl w:val="0"/>
          <w:numId w:val="4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What action does Enron want to take?</w:t>
      </w:r>
    </w:p>
    <w:p>
      <w:pPr>
        <w:pStyle w:val="Normal"/>
        <w:numPr>
          <w:ilvl w:val="0"/>
          <w:numId w:val="4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2"/>
        </w:rPr>
      </w:pPr>
      <w:r>
        <w:rPr>
          <w:b/>
          <w:sz w:val="22"/>
        </w:rPr>
        <w:t>Ways to mitigate exposure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rPr>
          <w:sz w:val="22"/>
        </w:rPr>
      </w:pPr>
      <w:r>
        <w:rPr>
          <w:sz w:val="22"/>
        </w:rPr>
        <w:t>Update:</w:t>
      </w:r>
    </w:p>
    <w:p>
      <w:pPr>
        <w:pStyle w:val="Heading5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Listed the top five/six regulatory issues EES should monitor:</w:t>
      </w:r>
    </w:p>
    <w:p>
      <w:pPr>
        <w:pStyle w:val="Normal"/>
        <w:numPr>
          <w:ilvl w:val="0"/>
          <w:numId w:val="24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FERC announcement expected 12/15/00</w:t>
      </w:r>
    </w:p>
    <w:p>
      <w:pPr>
        <w:pStyle w:val="Normal"/>
        <w:numPr>
          <w:ilvl w:val="0"/>
          <w:numId w:val="24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December 21</w:t>
      </w:r>
      <w:r>
        <w:rPr>
          <w:b/>
          <w:color w:val="FF0000"/>
          <w:sz w:val="22"/>
          <w:vertAlign w:val="superscript"/>
        </w:rPr>
        <w:t>st</w:t>
      </w:r>
      <w:r>
        <w:rPr>
          <w:b/>
          <w:color w:val="FF0000"/>
          <w:sz w:val="22"/>
        </w:rPr>
        <w:t xml:space="preserve"> PUC meetings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Would like to see the freeze continue to hold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No Increase in Tariffs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What involvement should Enron have?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Who is attending?</w:t>
      </w:r>
    </w:p>
    <w:p>
      <w:pPr>
        <w:pStyle w:val="BodyTextIndent"/>
        <w:numPr>
          <w:ilvl w:val="0"/>
          <w:numId w:val="24"/>
        </w:numPr>
        <w:rPr>
          <w:b w:val="false"/>
          <w:sz w:val="22"/>
        </w:rPr>
      </w:pPr>
      <w:r>
        <w:rPr>
          <w:sz w:val="22"/>
        </w:rPr>
        <w:t xml:space="preserve">Summit meetings between state governments, federal governments, utilities and corporations early to mid next week.  Need to determine if Jeff Skilling or Steve Kean will attend for Enron. </w:t>
      </w:r>
    </w:p>
    <w:p>
      <w:pPr>
        <w:pStyle w:val="Normal"/>
        <w:numPr>
          <w:ilvl w:val="0"/>
          <w:numId w:val="24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Ultimate methodology for  California PX credit calculation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ind w:hanging="360" w:start="144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Suggest ESP use day ahead pricing</w:t>
      </w:r>
    </w:p>
    <w:p>
      <w:pPr>
        <w:pStyle w:val="Normal"/>
        <w:numPr>
          <w:ilvl w:val="0"/>
          <w:numId w:val="24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Longer term – competitive default service 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numPr>
          <w:ilvl w:val="0"/>
          <w:numId w:val="15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Need to completely understand the impact of the “Richardson Order” signed last evening.  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numPr>
          <w:ilvl w:val="0"/>
          <w:numId w:val="5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Legal</w:t>
        <w:tab/>
        <w:tab/>
        <w:tab/>
        <w:tab/>
        <w:tab/>
        <w:tab/>
        <w:tab/>
        <w:tab/>
        <w:t>Vicky Sharp</w:t>
      </w:r>
    </w:p>
    <w:p>
      <w:pPr>
        <w:pStyle w:val="Normal"/>
        <w:numPr>
          <w:ilvl w:val="0"/>
          <w:numId w:val="6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Monitor litigation in California</w:t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numPr>
          <w:ilvl w:val="0"/>
          <w:numId w:val="5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Other Suggestions</w:t>
        <w:tab/>
        <w:tab/>
        <w:tab/>
        <w:tab/>
        <w:tab/>
        <w:tab/>
        <w:t>Dennis Benevides</w:t>
      </w:r>
    </w:p>
    <w:p>
      <w:pPr>
        <w:pStyle w:val="Normal"/>
        <w:numPr>
          <w:ilvl w:val="0"/>
          <w:numId w:val="26"/>
        </w:numPr>
        <w:rPr>
          <w:b/>
          <w:color w:val="FF0000"/>
          <w:sz w:val="22"/>
        </w:rPr>
      </w:pPr>
      <w:r>
        <w:rPr>
          <w:b/>
          <w:color w:val="FF0000"/>
          <w:sz w:val="22"/>
        </w:rPr>
        <w:t>Fully explore opportunities to increase physical imports into California</w:t>
      </w:r>
    </w:p>
    <w:p>
      <w:pPr>
        <w:pStyle w:val="Normal"/>
        <w:numPr>
          <w:ilvl w:val="0"/>
          <w:numId w:val="36"/>
        </w:numPr>
        <w:tabs>
          <w:tab w:val="left" w:pos="720" w:leader="none"/>
        </w:tabs>
        <w:ind w:hanging="360" w:start="72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Dennis to coordinate with Tim Belton re Transmission constraints</w:t>
      </w:r>
    </w:p>
    <w:p>
      <w:pPr>
        <w:pStyle w:val="Normal"/>
        <w:numPr>
          <w:ilvl w:val="0"/>
          <w:numId w:val="36"/>
        </w:numPr>
        <w:tabs>
          <w:tab w:val="left" w:pos="720" w:leader="none"/>
        </w:tabs>
        <w:ind w:hanging="360" w:start="72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>Ability to ease emission restrictions</w:t>
      </w:r>
    </w:p>
    <w:p>
      <w:pPr>
        <w:pStyle w:val="Normal"/>
        <w:numPr>
          <w:ilvl w:val="0"/>
          <w:numId w:val="36"/>
        </w:numPr>
        <w:tabs>
          <w:tab w:val="left" w:pos="720" w:leader="none"/>
        </w:tabs>
        <w:ind w:hanging="360" w:start="720" w:end="0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Additional generation capacity </w:t>
      </w:r>
    </w:p>
    <w:p>
      <w:pPr>
        <w:pStyle w:val="Normal"/>
        <w:ind w:start="720" w:end="0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color w:val="FF0000"/>
          <w:sz w:val="22"/>
        </w:rPr>
      </w:pPr>
      <w:r>
        <w:rPr>
          <w:b/>
          <w:color w:val="FF0000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9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color w:val="FF0000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b/>
      <w:color w:val="FF0000"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FF0000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sz w:val="16"/>
    </w:rPr>
  </w:style>
  <w:style w:type="character" w:styleId="WW8Num27z0">
    <w:name w:val="WW8Num27z0"/>
    <w:qFormat/>
    <w:rPr>
      <w:rFonts w:ascii="Wingdings" w:hAnsi="Wingdings" w:cs="Wingdings"/>
      <w:sz w:val="16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Wingdings" w:hAnsi="Wingdings" w:cs="Wingdings"/>
      <w:sz w:val="16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  <w:sz w:val="16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  <w:sz w:val="16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b/>
      <w:color w:val="FF0000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2000-12-15T21:28:00Z</dcterms:created>
  <dc:creator>wcurry</dc:creator>
  <dc:description/>
  <dc:language>en-CA</dc:language>
  <cp:lastModifiedBy>wcurry</cp:lastModifiedBy>
  <cp:lastPrinted>2000-12-15T16:56:00Z</cp:lastPrinted>
  <dcterms:modified xsi:type="dcterms:W3CDTF">2000-12-15T21:28:00Z</dcterms:modified>
  <cp:revision>2</cp:revision>
  <dc:subject/>
  <dc:title>California Markets Focus Group</dc:title>
</cp:coreProperties>
</file>