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i/>
          <w:i/>
          <w:iCs/>
          <w:sz w:val="20"/>
        </w:rPr>
      </w:pPr>
      <w:r>
        <w:rPr>
          <w:b/>
          <w:bCs/>
          <w:i/>
          <w:iCs/>
          <w:sz w:val="20"/>
        </w:rPr>
        <w:t>Price caps do more harm than good:</w:t>
      </w:r>
    </w:p>
    <w:p>
      <w:pPr>
        <w:pStyle w:val="Normal"/>
        <w:jc w:val="center"/>
        <w:rPr>
          <w:b/>
          <w:bCs/>
          <w:i/>
          <w:i/>
          <w:iCs/>
          <w:sz w:val="20"/>
        </w:rPr>
      </w:pPr>
      <w:r>
        <w:rPr>
          <w:b/>
          <w:bCs/>
          <w:i/>
          <w:iCs/>
          <w:sz w:val="20"/>
        </w:rPr>
        <w:t>Lessons from California</w:t>
      </w:r>
    </w:p>
    <w:p>
      <w:pPr>
        <w:pStyle w:val="Normal"/>
        <w:rPr>
          <w:b/>
          <w:bCs/>
          <w:i/>
          <w:i/>
          <w:iCs/>
          <w:sz w:val="20"/>
        </w:rPr>
      </w:pPr>
      <w:r>
        <w:rPr>
          <w:b/>
          <w:bCs/>
          <w:i/>
          <w:iCs/>
          <w:sz w:val="20"/>
        </w:rPr>
      </w:r>
    </w:p>
    <w:p>
      <w:pPr>
        <w:pStyle w:val="Normal"/>
        <w:numPr>
          <w:ilvl w:val="1"/>
          <w:numId w:val="1"/>
        </w:numPr>
        <w:tabs>
          <w:tab w:val="clear" w:pos="720"/>
        </w:tabs>
        <w:ind w:hanging="360" w:start="720" w:end="0"/>
        <w:rPr>
          <w:sz w:val="20"/>
        </w:rPr>
      </w:pPr>
      <w:r>
        <w:rPr>
          <w:sz w:val="20"/>
        </w:rPr>
        <w:t>Suppliers in- and out-of-state have re-directed power sales away from California to other regions, where prices are not constrained by artificial price restrictions (i.e., it’s a regional market---electrons (and) commerce do not respect state/territorial boundaries).  The result—higher prices, increased threat to reliability.</w:t>
      </w:r>
    </w:p>
    <w:p>
      <w:pPr>
        <w:pStyle w:val="Normal"/>
        <w:ind w:start="288" w:end="0"/>
        <w:rPr>
          <w:sz w:val="20"/>
        </w:rPr>
      </w:pPr>
      <w:r>
        <w:rPr>
          <w:sz w:val="20"/>
        </w:rPr>
      </w:r>
    </w:p>
    <w:p>
      <w:pPr>
        <w:pStyle w:val="Normal"/>
        <w:numPr>
          <w:ilvl w:val="1"/>
          <w:numId w:val="1"/>
        </w:numPr>
        <w:tabs>
          <w:tab w:val="clear" w:pos="720"/>
        </w:tabs>
        <w:ind w:hanging="360" w:start="720" w:end="0"/>
        <w:rPr>
          <w:sz w:val="20"/>
        </w:rPr>
      </w:pPr>
      <w:r>
        <w:rPr>
          <w:sz w:val="20"/>
        </w:rPr>
        <w:t>The uncertainty created by government intervention in the market has caused the cancellation of at least 600 MWs of peaking plants proposed to serve the California market (we and Calpine both announced the withdrawal of 300 MWs).  The result—higher prices, increased threat to reliability.</w:t>
      </w:r>
    </w:p>
    <w:p>
      <w:pPr>
        <w:pStyle w:val="Normal"/>
        <w:ind w:start="288" w:end="0"/>
        <w:rPr>
          <w:sz w:val="20"/>
        </w:rPr>
      </w:pPr>
      <w:r>
        <w:rPr>
          <w:sz w:val="20"/>
        </w:rPr>
      </w:r>
    </w:p>
    <w:p>
      <w:pPr>
        <w:pStyle w:val="Normal"/>
        <w:numPr>
          <w:ilvl w:val="1"/>
          <w:numId w:val="1"/>
        </w:numPr>
        <w:tabs>
          <w:tab w:val="clear" w:pos="720"/>
        </w:tabs>
        <w:ind w:hanging="360" w:start="720" w:end="0"/>
        <w:rPr>
          <w:sz w:val="20"/>
        </w:rPr>
      </w:pPr>
      <w:r>
        <w:rPr>
          <w:sz w:val="20"/>
        </w:rPr>
        <w:t>The California ISO put out an RFP for “emergency” generation to try to get more power on line for next summer.  They received over 3,000 MWs of offers.  They accepted just over 2,000 MWs.  We offered almost 700 MWs of projects.  With all the uncertainty caused by intervention, we now have 45 MWs left on the table.  Of the 2,000+ originally accepted by the ISO, only about 1,000 MWs are still on the table.  Word on the street is that only about ½ of those 1,000 MWs is expected to get done.  The result—higher prices, increased threat to reliability.</w:t>
      </w:r>
    </w:p>
    <w:p>
      <w:pPr>
        <w:pStyle w:val="Normal"/>
        <w:ind w:start="288" w:end="0"/>
        <w:rPr>
          <w:sz w:val="20"/>
        </w:rPr>
      </w:pPr>
      <w:r>
        <w:rPr>
          <w:sz w:val="20"/>
        </w:rPr>
      </w:r>
    </w:p>
    <w:p>
      <w:pPr>
        <w:pStyle w:val="Normal"/>
        <w:numPr>
          <w:ilvl w:val="1"/>
          <w:numId w:val="1"/>
        </w:numPr>
        <w:tabs>
          <w:tab w:val="clear" w:pos="720"/>
        </w:tabs>
        <w:ind w:hanging="360" w:start="720" w:end="0"/>
        <w:rPr>
          <w:sz w:val="20"/>
        </w:rPr>
      </w:pPr>
      <w:r>
        <w:rPr>
          <w:sz w:val="20"/>
        </w:rPr>
        <w:t>Faced with price controls in electricity, suppliers are forced to make a choice between profit and loss, and they choose accordingly.  In an attempt to remain profitable, many have chosen to “shut-in” and sell their gas into the market (i.e., the cost of producing electricity is a losing proposition due to the price caps, but given where gas prices are, they can sell the gas and make money).  This acts to further reduce supply.  The result—higher prices, increased threat to reliability.</w:t>
      </w:r>
    </w:p>
    <w:p>
      <w:pPr>
        <w:pStyle w:val="Normal"/>
        <w:ind w:start="288" w:end="0"/>
        <w:rPr>
          <w:sz w:val="20"/>
        </w:rPr>
      </w:pPr>
      <w:r>
        <w:rPr>
          <w:sz w:val="20"/>
        </w:rPr>
      </w:r>
    </w:p>
    <w:p>
      <w:pPr>
        <w:pStyle w:val="Normal"/>
        <w:numPr>
          <w:ilvl w:val="1"/>
          <w:numId w:val="1"/>
        </w:numPr>
        <w:tabs>
          <w:tab w:val="clear" w:pos="720"/>
        </w:tabs>
        <w:ind w:hanging="360" w:start="720" w:end="0"/>
        <w:rPr>
          <w:sz w:val="20"/>
        </w:rPr>
      </w:pPr>
      <w:r>
        <w:rPr>
          <w:sz w:val="20"/>
        </w:rPr>
        <w:t xml:space="preserve">There is additional evidence in California that caps do harm.  The evidence comes from recents attempts by California’s IOUs to cap the price of gas for the purposes of calculating prices paid to QFs under contract with the utility.  (Gas prices at the California border is one component of the formula that California uses to set prices for QF power.)  The utilities pushed hard for the California PUC to cap the gas prices (and thus lower the price that the utilities pay QFs for power).  In response, QFs began “shutting in,” concerned that, if gas prices were capped, the price they received from the utility wouldn’t cover the costs of production costs.  This created real problems for SDG&amp;E since the price paid for power from QFs (even with the higher gas prices) was less than prices out of the PX/ISO.  Thus, SDG&amp;E found itself paying </w:t>
      </w:r>
      <w:r>
        <w:rPr>
          <w:i/>
          <w:iCs/>
          <w:sz w:val="20"/>
        </w:rPr>
        <w:t>higher</w:t>
      </w:r>
      <w:r>
        <w:rPr>
          <w:sz w:val="20"/>
        </w:rPr>
        <w:t xml:space="preserve"> prices for electricity due to the mere </w:t>
      </w:r>
      <w:r>
        <w:rPr>
          <w:i/>
          <w:iCs/>
          <w:sz w:val="20"/>
        </w:rPr>
        <w:t>threat</w:t>
      </w:r>
      <w:r>
        <w:rPr>
          <w:sz w:val="20"/>
        </w:rPr>
        <w:t xml:space="preserve"> of capping gas prices in the QF-price formula.  The result—higher prices, increased threat to reliability.  In response, SDG&amp;E re-filed with the California PUC to rescind its support of capping gas prices. </w:t>
      </w:r>
    </w:p>
    <w:p>
      <w:pPr>
        <w:pStyle w:val="Normal"/>
        <w:rPr>
          <w:sz w:val="20"/>
        </w:rPr>
      </w:pPr>
      <w:r>
        <w:rPr>
          <w:sz w:val="20"/>
        </w:rPr>
      </w:r>
    </w:p>
    <w:p>
      <w:pPr>
        <w:pStyle w:val="Normal"/>
        <w:numPr>
          <w:ilvl w:val="1"/>
          <w:numId w:val="1"/>
        </w:numPr>
        <w:tabs>
          <w:tab w:val="clear" w:pos="720"/>
        </w:tabs>
        <w:ind w:hanging="360" w:start="720" w:end="0"/>
        <w:rPr>
          <w:sz w:val="20"/>
        </w:rPr>
      </w:pPr>
      <w:r>
        <w:rPr>
          <w:sz w:val="20"/>
        </w:rPr>
        <w:t>The caps have a detrimental effect on price responsiveness by end users.  The price caps have detered, and continue to deter, investments in energy efficiency and load shifting by customers.  The result—higher prices, increased threat to reliability.</w:t>
      </w:r>
    </w:p>
    <w:p>
      <w:pPr>
        <w:pStyle w:val="Normal"/>
        <w:rPr>
          <w:sz w:val="20"/>
        </w:rPr>
      </w:pPr>
      <w:r>
        <w:rPr>
          <w:sz w:val="20"/>
        </w:rPr>
      </w:r>
    </w:p>
    <w:p>
      <w:pPr>
        <w:pStyle w:val="Normal"/>
        <w:numPr>
          <w:ilvl w:val="1"/>
          <w:numId w:val="1"/>
        </w:numPr>
        <w:tabs>
          <w:tab w:val="clear" w:pos="720"/>
        </w:tabs>
        <w:ind w:hanging="360" w:start="720" w:end="0"/>
        <w:rPr>
          <w:sz w:val="20"/>
        </w:rPr>
      </w:pPr>
      <w:r>
        <w:rPr>
          <w:sz w:val="20"/>
        </w:rPr>
        <w:t>Rob, you have the FERC staff report documenting a real-life example of the right answer.  In the Midwest, FERC refrained from imposing artificial price controls.  The result:  increasing prices signaled to the market that a supply-demand imbalance existed.  Entry occurred as a result (i.e., a market solution to a market problem) and prices have stabilized.  In short, right answer—Midwest.  Wrong answer—California (and potentially, it seems, Alberta.)</w:t>
      </w:r>
    </w:p>
    <w:p>
      <w:pPr>
        <w:pStyle w:val="Normal"/>
        <w:ind w:start="36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32"/>
        </w:tabs>
        <w:ind w:start="360" w:hanging="288"/>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2000-11-17T13:53:00Z</dcterms:created>
  <dc:creator>jdasovic</dc:creator>
  <dc:description/>
  <dc:language>en-CA</dc:language>
  <cp:lastModifiedBy>jdasovic</cp:lastModifiedBy>
  <dcterms:modified xsi:type="dcterms:W3CDTF">2000-11-17T18:03:00Z</dcterms:modified>
  <cp:revision>6</cp:revision>
  <dc:subject/>
  <dc:title>ž</dc:title>
</cp:coreProperties>
</file>