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0C0C0C" w:val="clear"/>
        <w:ind w:start="-360" w:end="-504"/>
        <w:jc w:val="center"/>
        <w:rPr>
          <w:rFonts w:ascii="Arial Black" w:hAnsi="Arial Black" w:cs="Arial Black"/>
          <w:sz w:val="16"/>
        </w:rPr>
      </w:pPr>
      <w:r>
        <w:rPr>
          <w:rFonts w:cs="Arial Black" w:ascii="Arial Black" w:hAnsi="Arial Black"/>
          <w:sz w:val="16"/>
        </w:rPr>
      </w:r>
    </w:p>
    <w:p>
      <w:pPr>
        <w:pStyle w:val="BodyText"/>
        <w:ind w:start="-360" w:end="-504"/>
        <w:rPr>
          <w:sz w:val="30"/>
        </w:rPr>
      </w:pPr>
      <w:r>
        <w:rPr>
          <w:sz w:val="30"/>
        </w:rPr>
        <w:t>The California Disconnect: Increased Demand, Decreased Supply</w:t>
      </w:r>
    </w:p>
    <w:p>
      <w:pPr>
        <w:pStyle w:val="Normal"/>
        <w:shd w:fill="0C0C0C" w:val="clear"/>
        <w:ind w:start="-360" w:end="-504"/>
        <w:jc w:val="center"/>
        <w:rPr>
          <w:rFonts w:ascii="Arial Black" w:hAnsi="Arial Black" w:cs="Arial Black"/>
          <w:sz w:val="16"/>
        </w:rPr>
      </w:pPr>
      <w:r>
        <w:rPr>
          <w:rFonts w:cs="Arial Black" w:ascii="Arial Black" w:hAnsi="Arial Black"/>
          <w:sz w:val="16"/>
        </w:rPr>
      </w:r>
    </w:p>
    <w:p>
      <w:pPr>
        <w:pStyle w:val="Normal"/>
        <w:rPr>
          <w:rFonts w:ascii="Arial Black" w:hAnsi="Arial Black" w:cs="Arial Black"/>
          <w:b/>
          <w:bCs/>
          <w:sz w:val="16"/>
        </w:rPr>
      </w:pPr>
      <w:r>
        <w:rPr>
          <w:rFonts w:cs="Arial Black" w:ascii="Arial Black" w:hAnsi="Arial Black"/>
          <w:b/>
          <w:bCs/>
          <w:sz w:val="16"/>
        </w:rPr>
      </w:r>
    </w:p>
    <w:p>
      <w:pPr>
        <w:pStyle w:val="Normal"/>
        <w:rPr>
          <w:b/>
          <w:bCs/>
        </w:rPr>
      </w:pPr>
      <w:r>
        <w:rPr>
          <w:b/>
          <w:bCs/>
        </w:rPr>
      </w:r>
    </w:p>
    <w:p>
      <w:pPr>
        <w:pStyle w:val="Heading2"/>
        <w:ind w:hanging="0" w:start="0"/>
        <w:rPr>
          <w:rFonts w:ascii="Arial Black" w:hAnsi="Arial Black" w:cs="Arial Black"/>
          <w:b w:val="false"/>
          <w:bCs w:val="false"/>
          <w:spacing w:val="20"/>
        </w:rPr>
      </w:pPr>
      <w:r>
        <w:rPr>
          <w:rFonts w:cs="Arial Black" w:ascii="Arial Black" w:hAnsi="Arial Black"/>
          <w:spacing w:val="20"/>
        </w:rPr>
        <w:t>The Problem:</w:t>
      </w:r>
    </w:p>
    <w:p>
      <w:pPr>
        <w:pStyle w:val="Normal"/>
        <w:numPr>
          <w:ilvl w:val="0"/>
          <w:numId w:val="2"/>
        </w:numPr>
        <w:spacing w:before="60" w:after="0"/>
        <w:rPr/>
      </w:pPr>
      <w:r>
        <w:rPr/>
        <w:t xml:space="preserve">California’s  1996 “re-regulation” plan capped retail electricity rates at an artificially low level, eliminating the incentive to conserve energy. </w:t>
      </w:r>
    </w:p>
    <w:p>
      <w:pPr>
        <w:pStyle w:val="Normal"/>
        <w:numPr>
          <w:ilvl w:val="0"/>
          <w:numId w:val="2"/>
        </w:numPr>
        <w:spacing w:before="60" w:after="0"/>
        <w:rPr/>
      </w:pPr>
      <w:r>
        <w:rPr/>
        <w:t xml:space="preserve">The explosion of California’s electricity-intensive high technology industry combined with continued growth in the state’s population has resulted in record levels of energy demand. </w:t>
      </w:r>
    </w:p>
    <w:p>
      <w:pPr>
        <w:pStyle w:val="Normal"/>
        <w:numPr>
          <w:ilvl w:val="0"/>
          <w:numId w:val="3"/>
        </w:numPr>
        <w:spacing w:before="60" w:after="0"/>
        <w:rPr/>
      </w:pPr>
      <w:r>
        <w:rPr/>
        <w:t>While California’s demand for electricity has greatly increased, supply has remained virtually constant.  In the period 1996 to 1999, peak demand increased by 5,222 megawatts while only 672 megawatts of new capacity was added.</w:t>
      </w:r>
    </w:p>
    <w:p>
      <w:pPr>
        <w:pStyle w:val="Normal"/>
        <w:numPr>
          <w:ilvl w:val="0"/>
          <w:numId w:val="3"/>
        </w:numPr>
        <w:spacing w:before="60" w:after="0"/>
        <w:rPr/>
      </w:pPr>
      <w:r>
        <w:rPr/>
        <w:t xml:space="preserve">California’s strict regulatory environment (overly restrictive siting/permitting requirements and local reviews) has delayed new power plant development and for environmental reasons has restricted the time that generators may operate. Plant construction can cost as much as $20-30 million for siting alone and take 2-3 years before construction can begin.  </w:t>
      </w:r>
    </w:p>
    <w:p>
      <w:pPr>
        <w:pStyle w:val="Normal"/>
        <w:numPr>
          <w:ilvl w:val="0"/>
          <w:numId w:val="3"/>
        </w:numPr>
        <w:spacing w:before="60" w:after="0"/>
        <w:rPr/>
      </w:pPr>
      <w:r>
        <w:rPr/>
        <w:t>Unusually hot and dry weather exacerbated the situation this summer, when hot weather blanketed much of the West; as a result, hydro-electric facilities produced at reduced capacity because of lower rainfall levels.</w:t>
      </w:r>
    </w:p>
    <w:p>
      <w:pPr>
        <w:pStyle w:val="Normal"/>
        <w:numPr>
          <w:ilvl w:val="0"/>
          <w:numId w:val="3"/>
        </w:numPr>
        <w:spacing w:before="60" w:after="0"/>
        <w:rPr/>
      </w:pPr>
      <w:r>
        <w:rPr/>
        <w:t xml:space="preserve">As part of California’s partial deregulation experiment, distributors were required to purchase electricity from the volatile spot market no more than 24 hours in advance.  This caused a greater sense of panic as prices rapidly increased to meet peak demand.  </w:t>
      </w:r>
    </w:p>
    <w:p>
      <w:pPr>
        <w:pStyle w:val="Normal"/>
        <w:numPr>
          <w:ilvl w:val="0"/>
          <w:numId w:val="3"/>
        </w:numPr>
        <w:spacing w:before="60" w:after="0"/>
        <w:rPr/>
      </w:pPr>
      <w:r>
        <w:rPr/>
        <w:t>The financial instability created by the PX (spot market) for California’s two largest utilities has meant that outside suppliers face the threat of non-payment, thereby exacerbating their ability to provide new supplies.</w:t>
      </w:r>
    </w:p>
    <w:p>
      <w:pPr>
        <w:pStyle w:val="Normal"/>
        <w:numPr>
          <w:ilvl w:val="0"/>
          <w:numId w:val="3"/>
        </w:numPr>
        <w:spacing w:before="60" w:after="0"/>
        <w:rPr/>
      </w:pPr>
      <w:r>
        <w:rPr/>
        <w:t xml:space="preserve">To date, other states such as Oregon and Washington have stepped in to provide additional supplies to meet peak demand.  As the winter and/or summer peak periods begin, these states will have less excess supply to provide to California.   Rates in other western states such as Arizona have risen dramatically as excess capacity continues to diminish.  </w:t>
      </w:r>
    </w:p>
    <w:p>
      <w:pPr>
        <w:pStyle w:val="Normal"/>
        <w:rPr/>
      </w:pPr>
      <w:r>
        <w:rPr/>
      </w:r>
    </w:p>
    <w:p>
      <w:pPr>
        <w:pStyle w:val="Heading1"/>
        <w:ind w:hanging="0" w:start="0"/>
        <w:rPr>
          <w:rFonts w:ascii="Arial Black" w:hAnsi="Arial Black" w:cs="Arial Black"/>
          <w:b/>
          <w:bCs/>
          <w:spacing w:val="20"/>
        </w:rPr>
      </w:pPr>
      <w:r>
        <w:rPr>
          <w:rFonts w:cs="Arial Black" w:ascii="Arial Black" w:hAnsi="Arial Black"/>
          <w:b/>
          <w:bCs/>
          <w:spacing w:val="20"/>
        </w:rPr>
        <w:t xml:space="preserve">The Solution:   </w:t>
      </w:r>
    </w:p>
    <w:p>
      <w:pPr>
        <w:pStyle w:val="Normal"/>
        <w:numPr>
          <w:ilvl w:val="0"/>
          <w:numId w:val="2"/>
        </w:numPr>
        <w:spacing w:before="60" w:after="0"/>
        <w:rPr/>
      </w:pPr>
      <w:r>
        <w:rPr/>
        <w:t>Lifting the price caps will more accurately reflect the current costs of electricity providing market incentives for energy conservation.</w:t>
      </w:r>
    </w:p>
    <w:p>
      <w:pPr>
        <w:pStyle w:val="Normal"/>
        <w:numPr>
          <w:ilvl w:val="0"/>
          <w:numId w:val="2"/>
        </w:numPr>
        <w:spacing w:before="60" w:after="0"/>
        <w:rPr>
          <w:b/>
          <w:bCs/>
          <w:i/>
          <w:i/>
          <w:iCs/>
        </w:rPr>
      </w:pPr>
      <w:r>
        <w:rPr/>
        <w:t xml:space="preserve">Allowing the market to prevail will, in combination with regulatory reform, bring new entrants into the state’s power generation market.   Increased supply and decreased demand will both drive electricity prices down, providing the long-term stability that California requires.  </w:t>
      </w:r>
    </w:p>
    <w:p>
      <w:pPr>
        <w:pStyle w:val="Normal"/>
        <w:numPr>
          <w:ilvl w:val="0"/>
          <w:numId w:val="3"/>
        </w:numPr>
        <w:spacing w:before="60" w:after="0"/>
        <w:rPr/>
      </w:pPr>
      <w:r>
        <w:rPr/>
        <w:t>California must increase the supply of power by encouraging new capital investments in power generation in the state.</w:t>
      </w:r>
    </w:p>
    <w:p>
      <w:pPr>
        <w:pStyle w:val="Normal"/>
        <w:numPr>
          <w:ilvl w:val="0"/>
          <w:numId w:val="3"/>
        </w:numPr>
        <w:spacing w:before="60" w:after="0"/>
        <w:rPr/>
      </w:pPr>
      <w:r>
        <w:rPr/>
        <w:t>California’s utilities should be immediately allowed to enter into longer-term contracts that will help to alleviate their reliance on a volatile spot market during spikes in energy demand.</w:t>
      </w:r>
    </w:p>
    <w:p>
      <w:pPr>
        <w:pStyle w:val="Normal"/>
        <w:numPr>
          <w:ilvl w:val="0"/>
          <w:numId w:val="3"/>
        </w:numPr>
        <w:spacing w:before="60" w:after="0"/>
        <w:rPr/>
      </w:pPr>
      <w:r>
        <w:rPr/>
        <w:t xml:space="preserve">California should adopt a uniform approval process for siting and permitting requirements that provide a systematic check-list and eliminate the sometimes arbitrary and open-ended process currently in place. </w:t>
      </w:r>
    </w:p>
    <w:p>
      <w:pPr>
        <w:pStyle w:val="Normal"/>
        <w:numPr>
          <w:ilvl w:val="0"/>
          <w:numId w:val="3"/>
        </w:numPr>
        <w:spacing w:before="60" w:after="0"/>
        <w:rPr>
          <w:b/>
          <w:bCs/>
          <w:i/>
          <w:i/>
          <w:iCs/>
        </w:rPr>
      </w:pPr>
      <w:r>
        <w:rPr/>
        <w:t>California should help to attract additional supplies by shoring up the financial credibility of the two largest utilities and removing the default risk.</w:t>
      </w:r>
      <w:r>
        <w:rPr>
          <w:b/>
          <w:bCs/>
          <w:i/>
          <w:iCs/>
        </w:rPr>
        <w:t xml:space="preserve"> </w:t>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hd w:fill="0C0C0C" w:val="clear"/>
      <w:jc w:val="center"/>
    </w:pPr>
    <w:rPr>
      <w:rFonts w:ascii="Arial Black" w:hAnsi="Arial Black" w:cs="Arial Black"/>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2001-01-29T22:28:00Z</dcterms:created>
  <dc:creator>Quinn, Gillespie &amp; Associates</dc:creator>
  <dc:description/>
  <dc:language>en-CA</dc:language>
  <cp:lastModifiedBy>Quinn Gillespie &amp;  Associates LLC</cp:lastModifiedBy>
  <cp:lastPrinted>2001-01-30T09:13:00Z</cp:lastPrinted>
  <dcterms:modified xsi:type="dcterms:W3CDTF">2001-01-30T12:36:00Z</dcterms:modified>
  <cp:revision>8</cp:revision>
  <dc:subject/>
  <dc:title>A 19th Century Infrastructure to Support a 21st Century Economy</dc:title>
</cp:coreProperties>
</file>