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California Energy Solutions Group</w:t>
      </w:r>
    </w:p>
    <w:p>
      <w:pPr>
        <w:pStyle w:val="Heading"/>
        <w:rPr/>
      </w:pPr>
      <w:r>
        <w:rPr/>
      </w:r>
    </w:p>
    <w:p>
      <w:pPr>
        <w:pStyle w:val="Subtitle"/>
        <w:rPr>
          <w:sz w:val="24"/>
        </w:rPr>
      </w:pPr>
      <w:r>
        <w:rPr>
          <w:sz w:val="24"/>
        </w:rPr>
        <w:t xml:space="preserve">December 5, 2000 </w:t>
      </w:r>
    </w:p>
    <w:p>
      <w:pPr>
        <w:pStyle w:val="Subtitle"/>
        <w:rPr>
          <w:sz w:val="24"/>
        </w:rPr>
      </w:pPr>
      <w:r>
        <w:rPr>
          <w:sz w:val="24"/>
        </w:rPr>
        <w:t>Discussion Agenda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/>
      </w:pPr>
      <w:r>
        <w:rPr/>
        <w:t>1</w:t>
        <w:tab/>
        <w:t>Identification of Critical, Short-run Issues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b/>
          <w:bCs/>
        </w:rPr>
      </w:pPr>
      <w:r>
        <w:rPr/>
        <w:t>Addition or elimination of issues as delineated in this agenda to attain a clear agenda on the scope of the short-run proposal.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2</w:t>
        <w:tab/>
        <w:t>Forward Contracting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a/</w:t>
        <w:tab/>
        <w:t>Should the utilities be required to forward contract and at what percentage, or should forward contracting be optional?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b/</w:t>
        <w:tab/>
        <w:t>How should the “reasonableness” of the utilities’ purchases be judged?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BodyTextIndent2"/>
        <w:rPr/>
      </w:pPr>
      <w:r>
        <w:rPr/>
        <w:t>1/</w:t>
        <w:tab/>
        <w:t xml:space="preserve">Should spot purchases continue to be </w:t>
      </w:r>
      <w:r>
        <w:rPr>
          <w:i/>
          <w:iCs/>
        </w:rPr>
        <w:t>per se</w:t>
      </w:r>
      <w:r>
        <w:rPr/>
        <w:t xml:space="preserve"> reasonable?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2/</w:t>
        <w:tab/>
        <w:t>Does any role remain for traditional reasonableness reviews?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3/</w:t>
        <w:tab/>
        <w:t>Would a comparison benchmark, similar in structure to the gas utilities’ commodity PBR mechanisms, be suited to electricity purchases?   If so: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BodyTextIndent3"/>
        <w:numPr>
          <w:ilvl w:val="0"/>
          <w:numId w:val="4"/>
        </w:numPr>
        <w:tabs>
          <w:tab w:val="clear" w:pos="720"/>
          <w:tab w:val="left" w:pos="2880" w:leader="none"/>
        </w:tabs>
        <w:ind w:hanging="720" w:start="2880" w:end="0"/>
        <w:rPr/>
      </w:pPr>
      <w:r>
        <w:rPr/>
        <w:t>what price references should be used to develop the benchmark;</w:t>
      </w:r>
    </w:p>
    <w:p>
      <w:pPr>
        <w:pStyle w:val="BodyTextIndent3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ind w:hanging="720" w:start="2880" w:end="0"/>
        <w:rPr/>
      </w:pPr>
      <w:r>
        <w:rPr/>
        <w:t>what tolerance level should be built around the benchmark, and should the tolerance be fixed or variable (</w:t>
      </w:r>
      <w:r>
        <w:rPr>
          <w:i/>
          <w:iCs/>
        </w:rPr>
        <w:t>e.g.,</w:t>
      </w:r>
      <w:r>
        <w:rPr/>
        <w:t xml:space="preserve"> variable depending on market volatility); and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ind w:hanging="720" w:start="2880" w:end="0"/>
        <w:rPr/>
      </w:pPr>
      <w:r>
        <w:rPr/>
        <w:t>what form of risk/reward should the utility be granted (</w:t>
      </w:r>
      <w:r>
        <w:rPr>
          <w:i/>
          <w:iCs/>
        </w:rPr>
        <w:t>i.e.,</w:t>
      </w:r>
      <w:r>
        <w:rPr/>
        <w:t xml:space="preserve"> percentages above/below benchmark tolerance)?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ind w:hanging="720" w:start="1440" w:end="0"/>
        <w:rPr/>
      </w:pPr>
      <w:r>
        <w:rPr/>
        <w:t>c/</w:t>
        <w:tab/>
        <w:t>How do we minimize the risk of future “stranded” costs under forward contracts as ESP market share increases (</w:t>
      </w:r>
      <w:r>
        <w:rPr>
          <w:i/>
          <w:iCs/>
        </w:rPr>
        <w:t xml:space="preserve">e.g., </w:t>
      </w:r>
      <w:r>
        <w:rPr/>
        <w:t>term commitments from customers).</w:t>
        <w:tab/>
      </w:r>
    </w:p>
    <w:p>
      <w:pPr>
        <w:pStyle w:val="Heading1"/>
        <w:keepLines/>
        <w:ind w:hanging="0" w:start="0"/>
        <w:rPr/>
      </w:pPr>
      <w:r>
        <w:rPr/>
        <w:t>3</w:t>
        <w:tab/>
        <w:t>Utility Generation Asset Management</w:t>
      </w:r>
    </w:p>
    <w:p>
      <w:pPr>
        <w:pStyle w:val="Normal"/>
        <w:keepNext w:val="true"/>
        <w:keepLines/>
        <w:rPr>
          <w:b/>
          <w:bCs/>
        </w:rPr>
      </w:pPr>
      <w:r>
        <w:rPr>
          <w:b/>
          <w:bCs/>
        </w:rPr>
      </w:r>
    </w:p>
    <w:p>
      <w:pPr>
        <w:pStyle w:val="BodyTextIndent"/>
        <w:keepNext w:val="true"/>
        <w:keepLines/>
        <w:rPr/>
      </w:pPr>
      <w:r>
        <w:rPr/>
        <w:t>a/</w:t>
        <w:tab/>
        <w:t>Should the utilities be required/permitted to retain currently owned generation assets?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b/</w:t>
        <w:tab/>
        <w:t xml:space="preserve">If the utilities retain existing assets, should their output be committed to native load, </w:t>
      </w:r>
      <w:r>
        <w:rPr>
          <w:i/>
          <w:iCs/>
        </w:rPr>
        <w:t xml:space="preserve">e.g., </w:t>
      </w:r>
      <w:r>
        <w:rPr/>
        <w:t>on a post-valuation cost basis, or should the utilities be permitted to sell the generation in the market where arbitrage opportunities arise?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c/</w:t>
        <w:tab/>
        <w:t>How should we account for revenues derived from existing generation?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d/</w:t>
        <w:tab/>
        <w:t>Does this need to be decided immediately?  Would it be possible to implement an “interim” valuation for existing assets subject to adjustment later in the year?</w:t>
      </w:r>
    </w:p>
    <w:p>
      <w:pPr>
        <w:pStyle w:val="Normal"/>
        <w:rPr/>
      </w:pPr>
      <w:r>
        <w:rPr/>
      </w:r>
    </w:p>
    <w:p>
      <w:pPr>
        <w:pStyle w:val="Heading1"/>
        <w:keepLines/>
        <w:ind w:hanging="0" w:start="0"/>
        <w:rPr/>
      </w:pPr>
      <w:r>
        <w:rPr/>
        <w:t>4</w:t>
        <w:tab/>
        <w:t>Utility Portfolio and Products</w:t>
      </w:r>
    </w:p>
    <w:p>
      <w:pPr>
        <w:pStyle w:val="Normal"/>
        <w:keepNext w:val="true"/>
        <w:keepLines/>
        <w:rPr>
          <w:b/>
          <w:bCs/>
        </w:rPr>
      </w:pPr>
      <w:r>
        <w:rPr>
          <w:b/>
          <w:bCs/>
        </w:rPr>
      </w:r>
    </w:p>
    <w:p>
      <w:pPr>
        <w:pStyle w:val="BodyTextIndent"/>
        <w:keepNext w:val="true"/>
        <w:keepLines/>
        <w:rPr/>
      </w:pPr>
      <w:r>
        <w:rPr/>
        <w:t>a/</w:t>
        <w:tab/>
        <w:t>Should the utilities be permitted/required in the short-run to split its portfolio into a core/noncore portfolio, or should we retain a single portfolio and move in the longer run toward separate portfolios?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b/</w:t>
        <w:tab/>
        <w:t xml:space="preserve">Should the utilities be permitted/required to establish products of varying terms for customers at different prices? Would the development, at a minimum, of a “real time” and a “stabilized” product better enable retail market development than a single, stabilized price? 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c/</w:t>
        <w:tab/>
        <w:t>In establishing a stabilized price: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should the pricing methodology be a “bottoms up” (</w:t>
      </w:r>
      <w:r>
        <w:rPr>
          <w:i/>
          <w:iCs/>
        </w:rPr>
        <w:t xml:space="preserve">e.g., </w:t>
      </w:r>
      <w:r>
        <w:rPr/>
        <w:t>PG&amp;E 6.5 cent/kWh uniform price) or a “tops down” (SCE residual 9.9% rate increase) methodology;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if we employ a “tops down” methodology, how do we handle credits to or rates for direct access customers;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what should be the term of the stabilized price (</w:t>
      </w:r>
      <w:r>
        <w:rPr>
          <w:i/>
          <w:iCs/>
        </w:rPr>
        <w:t xml:space="preserve">e.g. </w:t>
      </w:r>
      <w:r>
        <w:rPr/>
        <w:t>5 years);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should the trigger for adjustment to the stabilized price be based on timing (</w:t>
      </w:r>
      <w:r>
        <w:rPr>
          <w:i/>
          <w:iCs/>
        </w:rPr>
        <w:t>e.g.,</w:t>
      </w:r>
      <w:r>
        <w:rPr/>
        <w:t xml:space="preserve"> one year) or based on levels of under/over collection (</w:t>
      </w:r>
      <w:r>
        <w:rPr>
          <w:i/>
          <w:iCs/>
        </w:rPr>
        <w:t>e.g.</w:t>
      </w:r>
      <w:r>
        <w:rPr/>
        <w:t xml:space="preserve">, $$$ trigger);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what are the potential implications of market development of each methodology?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d/</w:t>
        <w:tab/>
        <w:t>What level of price increase under a stabilized product would be acceptable, balancing customer and utility interests?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e/</w:t>
        <w:tab/>
        <w:t xml:space="preserve">Assuming the utilities offer a stabilized price, how should under and over collections during the product term be addressed? 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term of allocation of balancing account;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allocation of over/under collections;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rate design; and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mechanisms to limit the effect of any balancing account amortization on retail market development.</w:t>
        <w:tab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f/</w:t>
        <w:tab/>
        <w:t>How should utility shareholder risk be addressed in utility procurement?</w:t>
      </w:r>
    </w:p>
    <w:p>
      <w:pPr>
        <w:pStyle w:val="Normal"/>
        <w:ind w:start="720" w:end="0"/>
        <w:rPr/>
      </w:pPr>
      <w:r>
        <w:rPr/>
      </w:r>
    </w:p>
    <w:p>
      <w:pPr>
        <w:pStyle w:val="BodyTextIndent2"/>
        <w:rPr/>
      </w:pPr>
      <w:r>
        <w:rPr/>
        <w:t>(a)</w:t>
        <w:tab/>
        <w:t>Should the utilities be permitted to offer products on a “pass through” basis?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2160" w:end="0"/>
        <w:rPr>
          <w:i/>
          <w:i/>
          <w:iCs/>
        </w:rPr>
      </w:pPr>
      <w:r>
        <w:rPr/>
        <w:t>(b)</w:t>
        <w:tab/>
        <w:t xml:space="preserve">Should utility shareholders have risk of recovery of procurement costs, </w:t>
      </w:r>
      <w:r>
        <w:rPr>
          <w:i/>
          <w:iCs/>
        </w:rPr>
        <w:t xml:space="preserve">e.g., </w:t>
      </w:r>
      <w:r>
        <w:rPr/>
        <w:t>by establishing a benchmark comparison to judge procurement reasonableness (</w:t>
      </w:r>
      <w:r>
        <w:rPr>
          <w:i/>
          <w:iCs/>
        </w:rPr>
        <w:t xml:space="preserve">see </w:t>
      </w:r>
      <w:r>
        <w:rPr/>
        <w:t>1/b/(3))?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5</w:t>
        <w:tab/>
        <w:t>TRA Undercollections and TCBA Accounting</w:t>
      </w:r>
    </w:p>
    <w:p>
      <w:pPr>
        <w:pStyle w:val="Normal"/>
        <w:rPr/>
      </w:pPr>
      <w:r>
        <w:rPr/>
      </w:r>
    </w:p>
    <w:p>
      <w:pPr>
        <w:pStyle w:val="BodyTextIndent2"/>
        <w:ind w:start="1440" w:end="0"/>
        <w:rPr/>
      </w:pPr>
      <w:r>
        <w:rPr/>
        <w:t>a/</w:t>
        <w:tab/>
        <w:t>When did/will the rate freeze end for each of PG&amp;E and SCE?  What are the accounting issues in dispute among the parties regarding a determination of the end of freeze (EOF)?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b/</w:t>
        <w:tab/>
        <w:t>How should the TRA shortfall accrued prior to the EOF be treated?</w:t>
      </w:r>
    </w:p>
    <w:p>
      <w:pPr>
        <w:pStyle w:val="Normal"/>
        <w:ind w:hanging="720" w:start="144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strictly separated from the post-EOF under/over collections;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amortization period;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allocation methodology; and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rate design.  </w:t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1440" w:end="0"/>
        <w:rPr/>
      </w:pPr>
      <w:r>
        <w:rPr/>
        <w:t>c/</w:t>
        <w:tab/>
        <w:t>How should the post-EOF TRA shortfall, if any, be treated? (</w:t>
      </w:r>
      <w:r>
        <w:rPr>
          <w:i/>
          <w:iCs/>
        </w:rPr>
        <w:t>See</w:t>
      </w:r>
      <w:r>
        <w:rPr/>
        <w:t xml:space="preserve"> e/(3))</w:t>
      </w:r>
    </w:p>
    <w:p>
      <w:pPr>
        <w:pStyle w:val="Normal"/>
        <w:ind w:hanging="720" w:start="2160" w:end="0"/>
        <w:rPr>
          <w:b/>
          <w:bCs/>
          <w:sz w:val="28"/>
        </w:rPr>
      </w:pPr>
      <w:r>
        <w:rPr>
          <w:b/>
          <w:bCs/>
          <w:sz w:val="28"/>
        </w:rPr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Style w:val="PageNumber"/>
      </w:rPr>
      <w:t>California Energy Solutions Group</w:t>
    </w:r>
  </w:p>
  <w:p>
    <w:pPr>
      <w:pStyle w:val="Footer"/>
      <w:jc w:val="end"/>
      <w:rPr/>
    </w:pPr>
    <w:r>
      <w:rPr>
        <w:rStyle w:val="PageNumber"/>
      </w:rPr>
      <w:t>December 5, Discussion Agenda</w:t>
    </w:r>
  </w:p>
  <w:p>
    <w:pPr>
      <w:pStyle w:val="Footer"/>
      <w:jc w:val="end"/>
      <w:rPr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2160"/>
        </w:tabs>
        <w:ind w:start="2160" w:hanging="72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2220"/>
        </w:tabs>
        <w:ind w:start="2220" w:hanging="78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2520"/>
        </w:tabs>
        <w:ind w:start="2520" w:hanging="360"/>
      </w:pPr>
      <w:rPr/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hanging="720" w:start="1440" w:end="0"/>
    </w:pPr>
    <w:rPr/>
  </w:style>
  <w:style w:type="paragraph" w:styleId="BodyTextIndent2">
    <w:name w:val="Body Text Indent 2"/>
    <w:basedOn w:val="Normal"/>
    <w:qFormat/>
    <w:pPr>
      <w:ind w:hanging="720" w:start="2160" w:end="0"/>
    </w:pPr>
    <w:rPr/>
  </w:style>
  <w:style w:type="paragraph" w:styleId="BodyTextIndent3">
    <w:name w:val="Body Text Indent 3"/>
    <w:basedOn w:val="Normal"/>
    <w:qFormat/>
    <w:pPr>
      <w:ind w:hanging="72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2000-12-04T17:58:00Z</dcterms:created>
  <dc:creator>Evelyn Elsesser</dc:creator>
  <dc:description/>
  <dc:language>en-CA</dc:language>
  <cp:lastModifiedBy>Evelyn Elsesser</cp:lastModifiedBy>
  <cp:lastPrinted>2000-12-04T12:11:00Z</cp:lastPrinted>
  <dcterms:modified xsi:type="dcterms:W3CDTF">2000-12-04T17:58:00Z</dcterms:modified>
  <cp:revision>2</cp:revision>
  <dc:subject/>
  <dc:title>CALIFORNIA ENERGY SOLUTIONS GROUP</dc:title>
</cp:coreProperties>
</file>