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Priority #1 – Keep the Lights on in the Short-Term (next 3 months)</w:t>
      </w:r>
    </w:p>
    <w:p>
      <w:pPr>
        <w:pStyle w:val="Header"/>
        <w:tabs>
          <w:tab w:val="clear" w:pos="4320"/>
          <w:tab w:val="clear" w:pos="8640"/>
        </w:tabs>
        <w:rPr/>
      </w:pPr>
      <w:r>
        <w:rPr/>
      </w:r>
    </w:p>
    <w:p>
      <w:pPr>
        <w:pStyle w:val="Header"/>
        <w:tabs>
          <w:tab w:val="clear" w:pos="4320"/>
          <w:tab w:val="clear" w:pos="8640"/>
        </w:tabs>
        <w:rPr/>
      </w:pPr>
      <w:r>
        <w:rPr/>
        <w:t>Problem:</w:t>
        <w:tab/>
      </w:r>
    </w:p>
    <w:p>
      <w:pPr>
        <w:pStyle w:val="Header"/>
        <w:tabs>
          <w:tab w:val="clear" w:pos="4320"/>
          <w:tab w:val="clear" w:pos="8640"/>
        </w:tabs>
        <w:rPr/>
      </w:pPr>
      <w:r>
        <w:rPr/>
      </w:r>
    </w:p>
    <w:p>
      <w:pPr>
        <w:pStyle w:val="Header"/>
        <w:tabs>
          <w:tab w:val="clear" w:pos="4320"/>
          <w:tab w:val="clear" w:pos="8640"/>
        </w:tabs>
        <w:rPr/>
      </w:pPr>
      <w:r>
        <w:rPr/>
        <w:t>There is a physical constraint on the amount of generation available.  In addition, there are no price signals to consumers to conserve electricity.  Finally, the Utilities have no credit remaining to purchase in wholesale electricity markets for their “net” short positions (also applies to PG&amp;E in natural gas markets).</w:t>
      </w:r>
    </w:p>
    <w:p>
      <w:pPr>
        <w:pStyle w:val="Header"/>
        <w:tabs>
          <w:tab w:val="clear" w:pos="4320"/>
          <w:tab w:val="clear" w:pos="8640"/>
        </w:tabs>
        <w:rPr/>
      </w:pPr>
      <w:r>
        <w:rPr/>
      </w:r>
    </w:p>
    <w:p>
      <w:pPr>
        <w:pStyle w:val="Header"/>
        <w:tabs>
          <w:tab w:val="clear" w:pos="4320"/>
          <w:tab w:val="clear" w:pos="8640"/>
        </w:tabs>
        <w:rPr/>
      </w:pPr>
      <w:r>
        <w:rPr/>
        <w:t>Answer:</w:t>
      </w:r>
    </w:p>
    <w:p>
      <w:pPr>
        <w:pStyle w:val="Header"/>
        <w:tabs>
          <w:tab w:val="clear" w:pos="4320"/>
          <w:tab w:val="clear" w:pos="8640"/>
        </w:tabs>
        <w:rPr/>
      </w:pPr>
      <w:r>
        <w:rPr/>
      </w:r>
    </w:p>
    <w:p>
      <w:pPr>
        <w:pStyle w:val="Header"/>
        <w:tabs>
          <w:tab w:val="clear" w:pos="4320"/>
          <w:tab w:val="clear" w:pos="8640"/>
        </w:tabs>
        <w:rPr/>
      </w:pPr>
      <w:r>
        <w:rPr/>
        <w:t>In the short-term, use the California Department of Water Resources (CDWR) to buy the Utilities “short” power needs.  Find and exploit all potential demand reductions.  Maximize the use of in-state generation, including all stand-by and on-site generation.  To the greatest extent possible, relax constraints on the use of in-state generation.</w:t>
      </w:r>
    </w:p>
    <w:p>
      <w:pPr>
        <w:pStyle w:val="Header"/>
        <w:tabs>
          <w:tab w:val="clear" w:pos="4320"/>
          <w:tab w:val="clear" w:pos="8640"/>
        </w:tabs>
        <w:rPr/>
      </w:pPr>
      <w:r>
        <w:rPr/>
      </w:r>
    </w:p>
    <w:p>
      <w:pPr>
        <w:pStyle w:val="Header"/>
        <w:tabs>
          <w:tab w:val="clear" w:pos="4320"/>
          <w:tab w:val="clear" w:pos="8640"/>
        </w:tabs>
        <w:rPr/>
      </w:pPr>
      <w:r>
        <w:rPr/>
        <w:t>Relevant Q&amp;A:</w:t>
      </w:r>
    </w:p>
    <w:p>
      <w:pPr>
        <w:pStyle w:val="Header"/>
        <w:tabs>
          <w:tab w:val="clear" w:pos="4320"/>
          <w:tab w:val="clear" w:pos="8640"/>
        </w:tabs>
        <w:rPr/>
      </w:pPr>
      <w:r>
        <w:rPr/>
      </w:r>
    </w:p>
    <w:p>
      <w:pPr>
        <w:pStyle w:val="Header"/>
        <w:tabs>
          <w:tab w:val="clear" w:pos="4320"/>
          <w:tab w:val="clear" w:pos="8640"/>
        </w:tabs>
        <w:rPr/>
      </w:pPr>
      <w:r>
        <w:rPr/>
        <w:t>Should interim funding / credit enhancement be provided to the Utilities to ensure reliability?</w:t>
      </w:r>
    </w:p>
    <w:p>
      <w:pPr>
        <w:pStyle w:val="Header"/>
        <w:tabs>
          <w:tab w:val="clear" w:pos="4320"/>
          <w:tab w:val="clear" w:pos="8640"/>
        </w:tabs>
        <w:rPr/>
      </w:pPr>
      <w:r>
        <w:rPr/>
      </w:r>
    </w:p>
    <w:p>
      <w:pPr>
        <w:pStyle w:val="Header"/>
        <w:tabs>
          <w:tab w:val="clear" w:pos="4320"/>
          <w:tab w:val="clear" w:pos="8640"/>
        </w:tabs>
        <w:rPr/>
      </w:pPr>
      <w:r>
        <w:rPr/>
        <w:t>The State of California has provided $400 million to allow the CDWR to purchase electricity on behalf of PG&amp;E and SCE for all “net” short requirements.  This appropriation will be consumed by February 1, 2001.  If long-term solutions are not yet in place, it may require an additional appropriation to keep reliable supplies in place.  Given the current situation, extending and expanding this appropriation appears to be the best answer.</w:t>
      </w:r>
    </w:p>
    <w:p>
      <w:pPr>
        <w:pStyle w:val="Header"/>
        <w:tabs>
          <w:tab w:val="clear" w:pos="4320"/>
          <w:tab w:val="clear" w:pos="8640"/>
        </w:tabs>
        <w:rPr/>
      </w:pPr>
      <w:r>
        <w:rPr/>
      </w:r>
    </w:p>
    <w:p>
      <w:pPr>
        <w:pStyle w:val="Header"/>
        <w:tabs>
          <w:tab w:val="clear" w:pos="4320"/>
          <w:tab w:val="clear" w:pos="8640"/>
        </w:tabs>
        <w:rPr/>
      </w:pPr>
      <w:r>
        <w:rPr/>
        <w:t>Are there other sources of funding in the short-term?</w:t>
      </w:r>
    </w:p>
    <w:p>
      <w:pPr>
        <w:pStyle w:val="Header"/>
        <w:tabs>
          <w:tab w:val="clear" w:pos="4320"/>
          <w:tab w:val="clear" w:pos="8640"/>
        </w:tabs>
        <w:rPr/>
      </w:pPr>
      <w:r>
        <w:rPr/>
      </w:r>
    </w:p>
    <w:p>
      <w:pPr>
        <w:pStyle w:val="Header"/>
        <w:tabs>
          <w:tab w:val="clear" w:pos="4320"/>
          <w:tab w:val="clear" w:pos="8640"/>
        </w:tabs>
        <w:rPr/>
      </w:pPr>
      <w:r>
        <w:rPr/>
        <w:t>The California Public Utilities Commission (CPUC) instituted an Emergency Surcharge early this year.  This Emergency Surcharge could be increased and extended as a vehicle to raise revenues to cover short-term and long-term power purchase costs.</w:t>
      </w:r>
    </w:p>
    <w:p>
      <w:pPr>
        <w:pStyle w:val="Header"/>
        <w:tabs>
          <w:tab w:val="clear" w:pos="4320"/>
          <w:tab w:val="clear" w:pos="8640"/>
        </w:tabs>
        <w:rPr/>
      </w:pPr>
      <w:r>
        <w:rPr/>
      </w:r>
    </w:p>
    <w:p>
      <w:pPr>
        <w:pStyle w:val="Normal"/>
        <w:rPr/>
      </w:pPr>
      <w:r>
        <w:rPr/>
        <w:t>Should the State of California nationalize PG&amp;E and SCE and confiscate power plants divested by PG&amp;E and SCE?</w:t>
      </w:r>
    </w:p>
    <w:p>
      <w:pPr>
        <w:pStyle w:val="Header"/>
        <w:tabs>
          <w:tab w:val="clear" w:pos="4320"/>
          <w:tab w:val="clear" w:pos="8640"/>
        </w:tabs>
        <w:rPr/>
      </w:pPr>
      <w:r>
        <w:rPr/>
      </w:r>
    </w:p>
    <w:p>
      <w:pPr>
        <w:pStyle w:val="Header"/>
        <w:tabs>
          <w:tab w:val="clear" w:pos="4320"/>
          <w:tab w:val="clear" w:pos="8640"/>
        </w:tabs>
        <w:rPr/>
      </w:pPr>
      <w:r>
        <w:rPr/>
        <w:t>This would do nothing to change the fundamental supply-demand imbalance.  More importantly, this would have a significant detrimental impact on incremental supply resources desiring to sell into or build in California.  There is substantial experience with government intervention globally and these efforts have failed.</w:t>
      </w:r>
    </w:p>
    <w:p>
      <w:pPr>
        <w:pStyle w:val="Header"/>
        <w:tabs>
          <w:tab w:val="clear" w:pos="4320"/>
          <w:tab w:val="clear" w:pos="8640"/>
        </w:tabs>
        <w:rPr/>
      </w:pPr>
      <w:r>
        <w:rPr/>
      </w:r>
      <w:r>
        <w:br w:type="page"/>
      </w:r>
    </w:p>
    <w:p>
      <w:pPr>
        <w:pStyle w:val="Header"/>
        <w:tabs>
          <w:tab w:val="clear" w:pos="4320"/>
          <w:tab w:val="clear" w:pos="8640"/>
        </w:tabs>
        <w:rPr/>
      </w:pPr>
      <w:r>
        <w:rPr/>
        <w:t>Should the Federal Government continue to extend the “mandatory” sale to the Utilities through the DOE Orders?</w:t>
      </w:r>
    </w:p>
    <w:p>
      <w:pPr>
        <w:pStyle w:val="Header"/>
        <w:tabs>
          <w:tab w:val="clear" w:pos="4320"/>
          <w:tab w:val="clear" w:pos="8640"/>
        </w:tabs>
        <w:rPr/>
      </w:pPr>
      <w:r>
        <w:rPr/>
      </w:r>
    </w:p>
    <w:p>
      <w:pPr>
        <w:pStyle w:val="Header"/>
        <w:tabs>
          <w:tab w:val="clear" w:pos="4320"/>
          <w:tab w:val="clear" w:pos="8640"/>
        </w:tabs>
        <w:rPr/>
      </w:pPr>
      <w:r>
        <w:rPr/>
        <w:t>At this point, the DOE Orders are counterproductive.  The DOE Orders do nothing to provide incentives for new generation or to reduce demand.  The DOE Orders are deterring appropriate responses to the current situation.</w:t>
      </w:r>
    </w:p>
    <w:p>
      <w:pPr>
        <w:pStyle w:val="Header"/>
        <w:tabs>
          <w:tab w:val="clear" w:pos="4320"/>
          <w:tab w:val="clear" w:pos="8640"/>
        </w:tabs>
        <w:rPr/>
      </w:pPr>
      <w:r>
        <w:rPr/>
      </w:r>
    </w:p>
    <w:p>
      <w:pPr>
        <w:pStyle w:val="Header"/>
        <w:tabs>
          <w:tab w:val="clear" w:pos="4320"/>
          <w:tab w:val="clear" w:pos="8640"/>
        </w:tabs>
        <w:rPr/>
      </w:pPr>
      <w:r>
        <w:rPr/>
        <w:t>How would a demand buy-down mechanism work?</w:t>
      </w:r>
    </w:p>
    <w:p>
      <w:pPr>
        <w:pStyle w:val="Header"/>
        <w:tabs>
          <w:tab w:val="clear" w:pos="4320"/>
          <w:tab w:val="clear" w:pos="8640"/>
        </w:tabs>
        <w:rPr/>
      </w:pPr>
      <w:r>
        <w:rPr/>
      </w:r>
    </w:p>
    <w:p>
      <w:pPr>
        <w:pStyle w:val="Header"/>
        <w:tabs>
          <w:tab w:val="clear" w:pos="4320"/>
          <w:tab w:val="clear" w:pos="8640"/>
        </w:tabs>
        <w:rPr/>
      </w:pPr>
      <w:r>
        <w:rPr/>
        <w:t>Utilities should hold a public auction to ask all customers that can reduce demand to indicate at what price they will curtail.  Economic curtailments will be found.  If enough demand is “turned-off”, prices will fall both in real-time and over the longer-term.  This solution is especially important because the Utilities are on the verge of already using their entire curtailable load under contract for 2001 (and curtailments are limited to certain times and hours every year).</w:t>
      </w:r>
    </w:p>
    <w:p>
      <w:pPr>
        <w:pStyle w:val="Header"/>
        <w:tabs>
          <w:tab w:val="clear" w:pos="4320"/>
          <w:tab w:val="clear" w:pos="8640"/>
        </w:tabs>
        <w:rPr/>
      </w:pPr>
      <w:r>
        <w:rPr/>
      </w:r>
    </w:p>
    <w:p>
      <w:pPr>
        <w:pStyle w:val="Header"/>
        <w:tabs>
          <w:tab w:val="clear" w:pos="4320"/>
          <w:tab w:val="clear" w:pos="8640"/>
        </w:tabs>
        <w:rPr/>
      </w:pPr>
      <w:r>
        <w:rPr/>
        <w:t>What constraints are hampering in-state generation?</w:t>
      </w:r>
    </w:p>
    <w:p>
      <w:pPr>
        <w:pStyle w:val="Header"/>
        <w:tabs>
          <w:tab w:val="clear" w:pos="4320"/>
          <w:tab w:val="clear" w:pos="8640"/>
        </w:tabs>
        <w:rPr/>
      </w:pPr>
      <w:r>
        <w:rPr/>
      </w:r>
    </w:p>
    <w:p>
      <w:pPr>
        <w:pStyle w:val="Header"/>
        <w:tabs>
          <w:tab w:val="clear" w:pos="4320"/>
          <w:tab w:val="clear" w:pos="8640"/>
        </w:tabs>
        <w:rPr/>
      </w:pPr>
      <w:r>
        <w:rPr/>
        <w:t>The primary near-term restrictions relate to emissions permits.</w:t>
      </w:r>
      <w:r>
        <w:rPr>
          <w:rStyle w:val="FootnoteCharacters"/>
          <w:rStyle w:val="FootnoteReference"/>
        </w:rPr>
        <w:footnoteReference w:id="2"/>
      </w:r>
      <w:r>
        <w:rPr/>
        <w:t xml:space="preserve">  For divested generation, permits establish the overall annual production hours.  For on-site generation, most permits limit operations during “emergencies” and establish severe limits on the overall annual production hours.  Streamlining siting requirements will also allow more generation to be developed and reduce long-term prices.</w:t>
      </w:r>
    </w:p>
    <w:p>
      <w:pPr>
        <w:pStyle w:val="Header"/>
        <w:tabs>
          <w:tab w:val="clear" w:pos="4320"/>
          <w:tab w:val="clear" w:pos="8640"/>
        </w:tabs>
        <w:rPr/>
      </w:pPr>
      <w:r>
        <w:rPr/>
      </w:r>
      <w:r>
        <w:br w:type="page"/>
      </w:r>
    </w:p>
    <w:p>
      <w:pPr>
        <w:pStyle w:val="Heading1"/>
        <w:ind w:hanging="0" w:start="0"/>
        <w:rPr>
          <w:i/>
          <w:i/>
          <w:iCs/>
        </w:rPr>
      </w:pPr>
      <w:r>
        <w:rPr>
          <w:i/>
          <w:iCs/>
        </w:rPr>
        <w:t>Priority #2 – Demonstrate Commitment to Supply and Demand Balance</w:t>
      </w:r>
    </w:p>
    <w:p>
      <w:pPr>
        <w:pStyle w:val="Normal"/>
        <w:rPr>
          <w:i/>
          <w:i/>
          <w:iCs/>
        </w:rPr>
      </w:pPr>
      <w:r>
        <w:rPr>
          <w:i/>
          <w:iCs/>
        </w:rPr>
      </w:r>
    </w:p>
    <w:p>
      <w:pPr>
        <w:pStyle w:val="Normal"/>
        <w:rPr/>
      </w:pPr>
      <w:r>
        <w:rPr/>
        <w:t>Problem:</w:t>
        <w:tab/>
      </w:r>
    </w:p>
    <w:p>
      <w:pPr>
        <w:pStyle w:val="Normal"/>
        <w:rPr/>
      </w:pPr>
      <w:r>
        <w:rPr/>
      </w:r>
    </w:p>
    <w:p>
      <w:pPr>
        <w:pStyle w:val="Normal"/>
        <w:rPr/>
      </w:pPr>
      <w:r>
        <w:rPr/>
        <w:t>Customer demand in California has grown much more rapidly than new generation for the last few years.  Current siting and permitting processes in California block the development of new power plants.</w:t>
      </w:r>
    </w:p>
    <w:p>
      <w:pPr>
        <w:pStyle w:val="Normal"/>
        <w:rPr/>
      </w:pPr>
      <w:r>
        <w:rPr/>
      </w:r>
    </w:p>
    <w:p>
      <w:pPr>
        <w:pStyle w:val="Normal"/>
        <w:rPr/>
      </w:pPr>
      <w:r>
        <w:rPr/>
        <w:t>Answer:</w:t>
      </w:r>
    </w:p>
    <w:p>
      <w:pPr>
        <w:pStyle w:val="Normal"/>
        <w:rPr/>
      </w:pPr>
      <w:r>
        <w:rPr/>
      </w:r>
    </w:p>
    <w:p>
      <w:pPr>
        <w:pStyle w:val="Normal"/>
        <w:rPr/>
      </w:pPr>
      <w:r>
        <w:rPr/>
        <w:t>Given the supply – demand imbalance, it would seem logical that many developers are rushing into California to construct new facilities.  But, given the extreme level of regulatory, political, and financial uncertainty, investors are shying away from this market.  There are a few core actions that would help overcome this uncertainty.  First, FERC must ensure that there is a workably competitive market in California specifically, and the West more generally.  California needs to remove barriers to entry through an overhaul of California’s siting and permitting processes to provide for streamlined construction.  In addition, California must immediately set aside state lands for siting of 6,000 megawatts of power plants.  California should also provide incentives for on-site generation and for market responsive demand reductions.</w:t>
      </w:r>
    </w:p>
    <w:p>
      <w:pPr>
        <w:pStyle w:val="Normal"/>
        <w:rPr/>
      </w:pPr>
      <w:r>
        <w:rPr/>
      </w:r>
    </w:p>
    <w:p>
      <w:pPr>
        <w:pStyle w:val="Header"/>
        <w:tabs>
          <w:tab w:val="clear" w:pos="4320"/>
          <w:tab w:val="clear" w:pos="8640"/>
        </w:tabs>
        <w:rPr/>
      </w:pPr>
      <w:r>
        <w:rPr/>
        <w:t>Relevant Q&amp;A:</w:t>
      </w:r>
    </w:p>
    <w:p>
      <w:pPr>
        <w:pStyle w:val="Normal"/>
        <w:rPr/>
      </w:pPr>
      <w:r>
        <w:rPr/>
      </w:r>
    </w:p>
    <w:p>
      <w:pPr>
        <w:pStyle w:val="Header"/>
        <w:tabs>
          <w:tab w:val="clear" w:pos="4320"/>
          <w:tab w:val="clear" w:pos="8640"/>
        </w:tabs>
        <w:rPr/>
      </w:pPr>
      <w:r>
        <w:rPr/>
        <w:t>What changes need to be made to ensure that the wholesale market works?</w:t>
      </w:r>
    </w:p>
    <w:p>
      <w:pPr>
        <w:pStyle w:val="Header"/>
        <w:tabs>
          <w:tab w:val="clear" w:pos="4320"/>
          <w:tab w:val="clear" w:pos="8640"/>
        </w:tabs>
        <w:rPr/>
      </w:pPr>
      <w:r>
        <w:rPr/>
      </w:r>
    </w:p>
    <w:p>
      <w:pPr>
        <w:pStyle w:val="Header"/>
        <w:tabs>
          <w:tab w:val="clear" w:pos="4320"/>
          <w:tab w:val="clear" w:pos="8640"/>
        </w:tabs>
        <w:rPr/>
      </w:pPr>
      <w:r>
        <w:rPr/>
        <w:t>First, FERC must be given full and clear authority to regulate all wholesale electricity market matters with no intervention by State authorities – right now there are basic disputes about federal and state jurisdiction.  This dispute stands in the way of interstate commerce.  FERC should remove all price caps and allow the market price to clear where supply meets demand.  FERC should finalize all outstanding policy questions with the California ISO.  Finally, FERC must be given full authority to oversee all transmission uses throughout the U.S. to ensure that electrons flow to the appropriate market – any remaining bias in favor of historic owners of transmission should be removed.</w:t>
      </w:r>
    </w:p>
    <w:p>
      <w:pPr>
        <w:pStyle w:val="Header"/>
        <w:tabs>
          <w:tab w:val="clear" w:pos="4320"/>
          <w:tab w:val="clear" w:pos="8640"/>
        </w:tabs>
        <w:rPr/>
      </w:pPr>
      <w:r>
        <w:rPr/>
      </w:r>
    </w:p>
    <w:p>
      <w:pPr>
        <w:pStyle w:val="Normal"/>
        <w:rPr/>
      </w:pPr>
      <w:r>
        <w:rPr/>
        <w:t>Why doesn’t FERC have sole authority for all wholesale matters?</w:t>
      </w:r>
    </w:p>
    <w:p>
      <w:pPr>
        <w:pStyle w:val="Normal"/>
        <w:rPr/>
      </w:pPr>
      <w:r>
        <w:rPr/>
      </w:r>
    </w:p>
    <w:p>
      <w:pPr>
        <w:pStyle w:val="Normal"/>
        <w:rPr/>
      </w:pPr>
      <w:r>
        <w:rPr/>
        <w:t>FERC agreed to work “cooperatively” with the California government when the initial restructuring was undertaken.  As part of that cooperation, FERC agreed to accept California’s restructuring plan without any modifications.  This has been a colossal failure.  Local control of the marketplace has led to political solutions not economic solutions.  For example, California recently imposed a new politically appointed Board of Directors on the California ISO in direct violation of FERC’s December 15, 2000 Order.</w:t>
      </w:r>
    </w:p>
    <w:p>
      <w:pPr>
        <w:pStyle w:val="Normal"/>
        <w:rPr/>
      </w:pPr>
      <w:r>
        <w:rPr/>
      </w:r>
      <w:r>
        <w:br w:type="page"/>
      </w:r>
    </w:p>
    <w:p>
      <w:pPr>
        <w:pStyle w:val="Normal"/>
        <w:rPr/>
      </w:pPr>
      <w:r>
        <w:rPr/>
        <w:t>If FERC is given full authority, what should they do to help California?</w:t>
      </w:r>
    </w:p>
    <w:p>
      <w:pPr>
        <w:pStyle w:val="Normal"/>
        <w:rPr/>
      </w:pPr>
      <w:r>
        <w:rPr/>
      </w:r>
    </w:p>
    <w:p>
      <w:pPr>
        <w:pStyle w:val="Normal"/>
        <w:rPr/>
      </w:pPr>
      <w:r>
        <w:rPr/>
        <w:t>First, FERC needs to end price caps.  Second, FERC needs to clarify its previous Order to state unequivocally that high market prices do not necessarily indicate market abuse or market manipulation.  The ambiguous language in FERC’s previous Order has created unnecessary litigation that has made matters worse. Finally, FERC must take control of how the California ISO operates to ensure that the real-time electricity price is efficient and fair – too much of the system is the result of compromise and stakeholder politics, not good economics.</w:t>
      </w:r>
    </w:p>
    <w:p>
      <w:pPr>
        <w:pStyle w:val="Header"/>
        <w:tabs>
          <w:tab w:val="clear" w:pos="4320"/>
          <w:tab w:val="clear" w:pos="8640"/>
        </w:tabs>
        <w:rPr/>
      </w:pPr>
      <w:r>
        <w:rPr/>
        <w:t xml:space="preserve"> </w:t>
      </w:r>
    </w:p>
    <w:p>
      <w:pPr>
        <w:pStyle w:val="Header"/>
        <w:tabs>
          <w:tab w:val="clear" w:pos="4320"/>
          <w:tab w:val="clear" w:pos="8640"/>
        </w:tabs>
        <w:rPr/>
      </w:pPr>
      <w:r>
        <w:rPr/>
        <w:t>Should there be market intervention, such as price caps?</w:t>
      </w:r>
    </w:p>
    <w:p>
      <w:pPr>
        <w:pStyle w:val="Header"/>
        <w:tabs>
          <w:tab w:val="clear" w:pos="4320"/>
          <w:tab w:val="clear" w:pos="8640"/>
        </w:tabs>
        <w:rPr/>
      </w:pPr>
      <w:r>
        <w:rPr/>
      </w:r>
    </w:p>
    <w:p>
      <w:pPr>
        <w:pStyle w:val="Header"/>
        <w:tabs>
          <w:tab w:val="clear" w:pos="4320"/>
          <w:tab w:val="clear" w:pos="8640"/>
        </w:tabs>
        <w:rPr/>
      </w:pPr>
      <w:r>
        <w:rPr/>
        <w:t>No.  Price caps have always failed to do what is necessary – bring in new demand and reduce consumption.  Historically price caps have only aggravated shortages.</w:t>
      </w:r>
    </w:p>
    <w:p>
      <w:pPr>
        <w:pStyle w:val="Header"/>
        <w:tabs>
          <w:tab w:val="clear" w:pos="4320"/>
          <w:tab w:val="clear" w:pos="8640"/>
        </w:tabs>
        <w:rPr/>
      </w:pPr>
      <w:r>
        <w:rPr/>
      </w:r>
    </w:p>
    <w:p>
      <w:pPr>
        <w:pStyle w:val="Header"/>
        <w:tabs>
          <w:tab w:val="clear" w:pos="4320"/>
          <w:tab w:val="clear" w:pos="8640"/>
        </w:tabs>
        <w:rPr/>
      </w:pPr>
      <w:r>
        <w:rPr/>
        <w:t>How should California ease entry for new generation?</w:t>
      </w:r>
    </w:p>
    <w:p>
      <w:pPr>
        <w:pStyle w:val="Header"/>
        <w:tabs>
          <w:tab w:val="clear" w:pos="4320"/>
          <w:tab w:val="clear" w:pos="8640"/>
        </w:tabs>
        <w:rPr/>
      </w:pPr>
      <w:r>
        <w:rPr/>
      </w:r>
    </w:p>
    <w:p>
      <w:pPr>
        <w:pStyle w:val="Header"/>
        <w:tabs>
          <w:tab w:val="clear" w:pos="4320"/>
          <w:tab w:val="clear" w:pos="8640"/>
        </w:tabs>
        <w:rPr/>
      </w:pPr>
      <w:r>
        <w:rPr/>
        <w:t>California should immediately expand its program that allows generators to trade environmental “offset” permits.  California can also create a one-stop shop for all siting and permitting needs.  Finally, California should look to utilize state land for new power plant development.</w:t>
      </w:r>
    </w:p>
    <w:p>
      <w:pPr>
        <w:pStyle w:val="Header"/>
        <w:tabs>
          <w:tab w:val="clear" w:pos="4320"/>
          <w:tab w:val="clear" w:pos="8640"/>
        </w:tabs>
        <w:rPr/>
      </w:pPr>
      <w:r>
        <w:rPr/>
      </w:r>
    </w:p>
    <w:p>
      <w:pPr>
        <w:pStyle w:val="Header"/>
        <w:tabs>
          <w:tab w:val="clear" w:pos="4320"/>
          <w:tab w:val="clear" w:pos="8640"/>
        </w:tabs>
        <w:rPr/>
      </w:pPr>
      <w:r>
        <w:rPr/>
        <w:t>What else can be done?</w:t>
      </w:r>
    </w:p>
    <w:p>
      <w:pPr>
        <w:pStyle w:val="Header"/>
        <w:tabs>
          <w:tab w:val="clear" w:pos="4320"/>
          <w:tab w:val="clear" w:pos="8640"/>
        </w:tabs>
        <w:rPr/>
      </w:pPr>
      <w:r>
        <w:rPr/>
      </w:r>
    </w:p>
    <w:p>
      <w:pPr>
        <w:pStyle w:val="Header"/>
        <w:tabs>
          <w:tab w:val="clear" w:pos="4320"/>
          <w:tab w:val="clear" w:pos="8640"/>
        </w:tabs>
        <w:rPr/>
      </w:pPr>
      <w:r>
        <w:rPr/>
        <w:t>California needs to modify its retail rates to send appropriate price signals to customers so that they are encouraged to engage in conservation behavior.  Few people recognize that customers of PG&amp;E and SCE are currently paying rates that are 10% below 1996 levels.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b/>
          <w:bCs/>
          <w:i/>
          <w:i/>
          <w:iCs/>
        </w:rPr>
      </w:pPr>
      <w:r>
        <w:rPr>
          <w:b/>
          <w:bCs/>
          <w:i/>
          <w:iCs/>
        </w:rPr>
        <w:t>Priority #3 – Restructure Default Provider Retail Rates</w:t>
      </w:r>
    </w:p>
    <w:p>
      <w:pPr>
        <w:pStyle w:val="Header"/>
        <w:tabs>
          <w:tab w:val="clear" w:pos="4320"/>
          <w:tab w:val="clear" w:pos="8640"/>
        </w:tabs>
        <w:rPr>
          <w:b/>
          <w:bCs/>
          <w:i/>
          <w:i/>
          <w:iCs/>
        </w:rPr>
      </w:pPr>
      <w:r>
        <w:rPr>
          <w:b/>
          <w:bCs/>
          <w:i/>
          <w:iCs/>
        </w:rPr>
      </w:r>
    </w:p>
    <w:p>
      <w:pPr>
        <w:pStyle w:val="Header"/>
        <w:tabs>
          <w:tab w:val="clear" w:pos="4320"/>
          <w:tab w:val="clear" w:pos="8640"/>
        </w:tabs>
        <w:rPr/>
      </w:pPr>
      <w:r>
        <w:rPr/>
        <w:t>Problem:</w:t>
        <w:tab/>
      </w:r>
    </w:p>
    <w:p>
      <w:pPr>
        <w:pStyle w:val="Header"/>
        <w:tabs>
          <w:tab w:val="clear" w:pos="4320"/>
          <w:tab w:val="clear" w:pos="8640"/>
        </w:tabs>
        <w:rPr/>
      </w:pPr>
      <w:r>
        <w:rPr/>
      </w:r>
    </w:p>
    <w:p>
      <w:pPr>
        <w:pStyle w:val="Header"/>
        <w:tabs>
          <w:tab w:val="clear" w:pos="4320"/>
          <w:tab w:val="clear" w:pos="8640"/>
        </w:tabs>
        <w:rPr/>
      </w:pPr>
      <w:r>
        <w:rPr/>
        <w:t>The Utilities are not able to pass through to customers their costs for buying wholesale power costs under the current Default Provider retail rates.  This situation creates an undercollection problem for the Utilities.</w:t>
      </w:r>
    </w:p>
    <w:p>
      <w:pPr>
        <w:pStyle w:val="Header"/>
        <w:tabs>
          <w:tab w:val="clear" w:pos="4320"/>
          <w:tab w:val="clear" w:pos="8640"/>
        </w:tabs>
        <w:rPr/>
      </w:pPr>
      <w:r>
        <w:rPr/>
      </w:r>
    </w:p>
    <w:p>
      <w:pPr>
        <w:pStyle w:val="Header"/>
        <w:tabs>
          <w:tab w:val="clear" w:pos="4320"/>
          <w:tab w:val="clear" w:pos="8640"/>
        </w:tabs>
        <w:rPr/>
      </w:pPr>
      <w:r>
        <w:rPr/>
        <w:t>Answer:</w:t>
      </w:r>
    </w:p>
    <w:p>
      <w:pPr>
        <w:pStyle w:val="Header"/>
        <w:tabs>
          <w:tab w:val="clear" w:pos="4320"/>
          <w:tab w:val="clear" w:pos="8640"/>
        </w:tabs>
        <w:rPr/>
      </w:pPr>
      <w:r>
        <w:rPr/>
      </w:r>
    </w:p>
    <w:p>
      <w:pPr>
        <w:pStyle w:val="Header"/>
        <w:tabs>
          <w:tab w:val="clear" w:pos="4320"/>
          <w:tab w:val="clear" w:pos="8640"/>
        </w:tabs>
        <w:rPr/>
      </w:pPr>
      <w:r>
        <w:rPr/>
        <w:t>It is critical that retail rates fully recover all prudent wholesale power purchase costs.  To provide for this recovery but to also ensure that consumers are not harmed by imprudent purchases, California needs to designate an appropriate Default Provider portfolio manager.  The Default Provider portfolio manager should be required to manage the price risk associated with the Default Provider’s retail rates.</w:t>
      </w:r>
    </w:p>
    <w:p>
      <w:pPr>
        <w:pStyle w:val="Header"/>
        <w:tabs>
          <w:tab w:val="clear" w:pos="4320"/>
          <w:tab w:val="clear" w:pos="8640"/>
        </w:tabs>
        <w:rPr/>
      </w:pPr>
      <w:r>
        <w:rPr/>
      </w:r>
    </w:p>
    <w:p>
      <w:pPr>
        <w:pStyle w:val="Header"/>
        <w:tabs>
          <w:tab w:val="clear" w:pos="4320"/>
          <w:tab w:val="clear" w:pos="8640"/>
        </w:tabs>
        <w:rPr/>
      </w:pPr>
      <w:r>
        <w:rPr/>
        <w:t>Relevant Q&amp;A:</w:t>
      </w:r>
    </w:p>
    <w:p>
      <w:pPr>
        <w:pStyle w:val="Header"/>
        <w:tabs>
          <w:tab w:val="clear" w:pos="4320"/>
          <w:tab w:val="clear" w:pos="8640"/>
        </w:tabs>
        <w:rPr/>
      </w:pPr>
      <w:r>
        <w:rPr/>
      </w:r>
    </w:p>
    <w:p>
      <w:pPr>
        <w:pStyle w:val="Header"/>
        <w:tabs>
          <w:tab w:val="clear" w:pos="4320"/>
          <w:tab w:val="clear" w:pos="8640"/>
        </w:tabs>
        <w:rPr/>
      </w:pPr>
      <w:r>
        <w:rPr/>
        <w:t>Why don’t the Utilities retail rates recover all of the costs of wholesale power?</w:t>
      </w:r>
    </w:p>
    <w:p>
      <w:pPr>
        <w:pStyle w:val="Header"/>
        <w:tabs>
          <w:tab w:val="clear" w:pos="4320"/>
          <w:tab w:val="clear" w:pos="8640"/>
        </w:tabs>
        <w:rPr/>
      </w:pPr>
      <w:r>
        <w:rPr/>
      </w:r>
    </w:p>
    <w:p>
      <w:pPr>
        <w:pStyle w:val="Header"/>
        <w:tabs>
          <w:tab w:val="clear" w:pos="4320"/>
          <w:tab w:val="clear" w:pos="8640"/>
        </w:tabs>
        <w:rPr/>
      </w:pPr>
      <w:r>
        <w:rPr/>
        <w:t>California’s decision to fix retail rates and hope that wholesale market prices would always go down was not risk management – it was a mistake.  Given the tight supply – demand balance and overall market uncertainty right now, it does not appear that the current retail rates allow for recovery of all prudent wholesale power costs.  The CPUC has the authority to act by either ending the AB1890 Rate Freeze or by implementing an Emergency Surcharge.  Finally, while raising retail rates may be unfortunate, this is necessary to recover all wholesale power purchase costs and to provide conservation signals to customers (in addition, rates could be re-designed to send additional conservation signals, e.g. “stair step” rates).</w:t>
      </w:r>
    </w:p>
    <w:p>
      <w:pPr>
        <w:pStyle w:val="Header"/>
        <w:tabs>
          <w:tab w:val="clear" w:pos="4320"/>
          <w:tab w:val="clear" w:pos="8640"/>
        </w:tabs>
        <w:rPr/>
      </w:pPr>
      <w:r>
        <w:rPr/>
      </w:r>
    </w:p>
    <w:p>
      <w:pPr>
        <w:pStyle w:val="Normal"/>
        <w:rPr/>
      </w:pPr>
      <w:r>
        <w:rPr/>
        <w:t>Should the state provide more flexibility to PG&amp;E and SCE to contract for their incremental needs?</w:t>
      </w:r>
    </w:p>
    <w:p>
      <w:pPr>
        <w:pStyle w:val="Header"/>
        <w:tabs>
          <w:tab w:val="clear" w:pos="4320"/>
          <w:tab w:val="clear" w:pos="8640"/>
        </w:tabs>
        <w:rPr/>
      </w:pPr>
      <w:r>
        <w:rPr/>
      </w:r>
    </w:p>
    <w:p>
      <w:pPr>
        <w:pStyle w:val="Header"/>
        <w:tabs>
          <w:tab w:val="clear" w:pos="4320"/>
          <w:tab w:val="clear" w:pos="8640"/>
        </w:tabs>
        <w:rPr/>
      </w:pPr>
      <w:r>
        <w:rPr/>
        <w:t>The restructuring model implemented by California required the Utilities to buy all of their incremental needs from the spot market.  Spot markets are for residual needs and exhibit huge volatility.  The best solution for managing the Default Provider electricity needs is a portfolio of long-term and short-term market purchases that minimizes cost while managing volatility.  This portfolio manager role does not need to be done by the Utilities.  California should require competition for the default service role.</w:t>
      </w:r>
    </w:p>
    <w:p>
      <w:pPr>
        <w:pStyle w:val="Header"/>
        <w:tabs>
          <w:tab w:val="clear" w:pos="4320"/>
          <w:tab w:val="clear" w:pos="8640"/>
        </w:tabs>
        <w:rPr/>
      </w:pPr>
      <w:r>
        <w:rPr/>
      </w:r>
    </w:p>
    <w:p>
      <w:pPr>
        <w:pStyle w:val="Header"/>
        <w:tabs>
          <w:tab w:val="clear" w:pos="4320"/>
          <w:tab w:val="clear" w:pos="8640"/>
        </w:tabs>
        <w:rPr/>
      </w:pPr>
      <w:r>
        <w:rPr/>
        <w:t>How would an auction for the default service role work and has this been tried anywhere?</w:t>
      </w:r>
    </w:p>
    <w:p>
      <w:pPr>
        <w:pStyle w:val="Header"/>
        <w:tabs>
          <w:tab w:val="clear" w:pos="4320"/>
          <w:tab w:val="clear" w:pos="8640"/>
        </w:tabs>
        <w:rPr/>
      </w:pPr>
      <w:r>
        <w:rPr/>
      </w:r>
    </w:p>
    <w:p>
      <w:pPr>
        <w:pStyle w:val="Header"/>
        <w:tabs>
          <w:tab w:val="clear" w:pos="4320"/>
          <w:tab w:val="clear" w:pos="8640"/>
        </w:tabs>
        <w:rPr/>
      </w:pPr>
      <w:r>
        <w:rPr/>
        <w:t xml:space="preserve">There are many mechanisms for making this role competitive.  For example, in Philadelphia, The New Power Company acquired 200,000 customers from PECO’s Default Provider role through a competitive bid process.   </w:t>
      </w:r>
    </w:p>
    <w:p>
      <w:pPr>
        <w:pStyle w:val="Normal"/>
        <w:rPr/>
      </w:pPr>
      <w:r>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 good example of reducing generation restrictions is found at the following link - http://www.aqmd.gov/news1/Generator_order.htm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CALIFORNIA BACKGROUND</w:t>
    </w:r>
  </w:p>
  <w:p>
    <w:pPr>
      <w:pStyle w:val="Header"/>
      <w:jc w:val="center"/>
      <w:rPr>
        <w:b/>
        <w:bCs/>
        <w:i/>
        <w:i/>
        <w:iCs/>
      </w:rPr>
    </w:pPr>
    <w:r>
      <w:rPr>
        <w:b/>
        <w:bCs/>
        <w:i/>
        <w:iCs/>
      </w:rPr>
      <w:t>Solutions &amp; Outcomes</w:t>
    </w:r>
  </w:p>
  <w:p>
    <w:pPr>
      <w:pStyle w:val="Header"/>
      <w:jc w:val="center"/>
      <w:rPr>
        <w:b/>
        <w:bCs/>
        <w:i/>
        <w:i/>
        <w:iCs/>
      </w:rPr>
    </w:pPr>
    <w:r>
      <w:rPr>
        <w:b/>
        <w:bCs/>
        <w:i/>
        <w:i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2001-01-26T21:14:00Z</dcterms:created>
  <dc:creator>jsteffe</dc:creator>
  <dc:description/>
  <dc:language>en-CA</dc:language>
  <cp:lastModifiedBy>jsteffe</cp:lastModifiedBy>
  <cp:lastPrinted>2001-01-26T17:57:00Z</cp:lastPrinted>
  <dcterms:modified xsi:type="dcterms:W3CDTF">2001-01-26T22:12:00Z</dcterms:modified>
  <cp:revision>4</cp:revision>
  <dc:subject/>
  <dc:title>Retail Restructuring Issues</dc:title>
</cp:coreProperties>
</file>