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Comprehensive Solution for California</w:t>
      </w:r>
    </w:p>
    <w:p>
      <w:pPr>
        <w:pStyle w:val="Subtitle"/>
        <w:rPr/>
      </w:pPr>
      <w:r>
        <w:rPr/>
        <w:t>May 2001</w:t>
      </w:r>
    </w:p>
    <w:p>
      <w:pPr>
        <w:pStyle w:val="Normal"/>
        <w:rPr>
          <w:sz w:val="20"/>
        </w:rPr>
      </w:pPr>
      <w:r>
        <w:rPr>
          <w:sz w:val="20"/>
        </w:rPr>
      </w:r>
    </w:p>
    <w:p>
      <w:pPr>
        <w:pStyle w:val="Normal"/>
        <w:rPr>
          <w:b/>
          <w:bCs/>
          <w:sz w:val="20"/>
        </w:rPr>
      </w:pPr>
      <w:r>
        <w:rPr>
          <w:b/>
          <w:bCs/>
          <w:sz w:val="20"/>
        </w:rPr>
        <w:t>The key components:</w:t>
      </w:r>
    </w:p>
    <w:p>
      <w:pPr>
        <w:pStyle w:val="Normal"/>
        <w:numPr>
          <w:ilvl w:val="0"/>
          <w:numId w:val="4"/>
        </w:numPr>
        <w:rPr>
          <w:sz w:val="20"/>
        </w:rPr>
      </w:pPr>
      <w:r>
        <w:rPr>
          <w:i/>
          <w:iCs/>
          <w:sz w:val="20"/>
        </w:rPr>
        <w:t>Increase supply</w:t>
      </w:r>
      <w:r>
        <w:rPr>
          <w:sz w:val="20"/>
        </w:rPr>
        <w:t>—California must build more power plants</w:t>
      </w:r>
    </w:p>
    <w:p>
      <w:pPr>
        <w:pStyle w:val="Normal"/>
        <w:numPr>
          <w:ilvl w:val="0"/>
          <w:numId w:val="4"/>
        </w:numPr>
        <w:rPr>
          <w:sz w:val="20"/>
        </w:rPr>
      </w:pPr>
      <w:r>
        <w:rPr>
          <w:i/>
          <w:iCs/>
          <w:sz w:val="20"/>
        </w:rPr>
        <w:t>Decrease demand</w:t>
      </w:r>
      <w:r>
        <w:rPr>
          <w:sz w:val="20"/>
        </w:rPr>
        <w:t>—California must get prices right so consumers have financial incentives to conserve</w:t>
      </w:r>
    </w:p>
    <w:p>
      <w:pPr>
        <w:pStyle w:val="Normal"/>
        <w:numPr>
          <w:ilvl w:val="0"/>
          <w:numId w:val="4"/>
        </w:numPr>
        <w:rPr>
          <w:sz w:val="20"/>
        </w:rPr>
      </w:pPr>
      <w:r>
        <w:rPr>
          <w:i/>
          <w:iCs/>
          <w:sz w:val="20"/>
        </w:rPr>
        <w:t>Make the utilities creditworthy</w:t>
      </w:r>
      <w:r>
        <w:rPr>
          <w:sz w:val="20"/>
        </w:rPr>
        <w:t>—California’s electric rates must cover utility costs, past and future</w:t>
      </w:r>
    </w:p>
    <w:p>
      <w:pPr>
        <w:pStyle w:val="Normal"/>
        <w:numPr>
          <w:ilvl w:val="0"/>
          <w:numId w:val="4"/>
        </w:numPr>
        <w:rPr>
          <w:sz w:val="20"/>
        </w:rPr>
      </w:pPr>
      <w:r>
        <w:rPr>
          <w:i/>
          <w:iCs/>
          <w:sz w:val="20"/>
        </w:rPr>
        <w:t>Get government out of the power-buying business</w:t>
      </w:r>
      <w:r>
        <w:rPr>
          <w:sz w:val="20"/>
        </w:rPr>
        <w:t>—California has no expertise, the private sector does</w:t>
      </w:r>
    </w:p>
    <w:p>
      <w:pPr>
        <w:pStyle w:val="Normal"/>
        <w:numPr>
          <w:ilvl w:val="0"/>
          <w:numId w:val="4"/>
        </w:numPr>
        <w:rPr>
          <w:sz w:val="20"/>
        </w:rPr>
      </w:pPr>
      <w:r>
        <w:rPr>
          <w:i/>
          <w:iCs/>
          <w:sz w:val="20"/>
        </w:rPr>
        <w:t>Get deregulation right this time</w:t>
      </w:r>
      <w:r>
        <w:rPr>
          <w:sz w:val="20"/>
        </w:rPr>
        <w:t>—California needs a real electricity market, not government takeovers</w:t>
      </w:r>
    </w:p>
    <w:p>
      <w:pPr>
        <w:pStyle w:val="Heading1"/>
        <w:ind w:hanging="0" w:start="0"/>
        <w:rPr>
          <w:sz w:val="20"/>
        </w:rPr>
      </w:pPr>
      <w:r>
        <w:rPr>
          <w:sz w:val="20"/>
        </w:rPr>
      </w:r>
    </w:p>
    <w:p>
      <w:pPr>
        <w:pStyle w:val="Heading1"/>
        <w:ind w:hanging="0" w:start="0"/>
        <w:rPr/>
      </w:pPr>
      <w:r>
        <w:rPr/>
        <w:t>1.</w:t>
        <w:tab/>
        <w:t>Increase Supply</w:t>
      </w:r>
    </w:p>
    <w:p>
      <w:pPr>
        <w:pStyle w:val="Heading2"/>
        <w:ind w:hanging="0" w:start="0"/>
        <w:rPr/>
      </w:pPr>
      <w:r>
        <w:rPr/>
        <w:t>The Problem—Not enough supply to meet demand</w:t>
      </w:r>
    </w:p>
    <w:p>
      <w:pPr>
        <w:pStyle w:val="Normal"/>
        <w:numPr>
          <w:ilvl w:val="0"/>
          <w:numId w:val="2"/>
        </w:numPr>
        <w:rPr>
          <w:sz w:val="20"/>
        </w:rPr>
      </w:pPr>
      <w:r>
        <w:rPr>
          <w:sz w:val="20"/>
        </w:rPr>
        <w:t>Unless new generation is built in California, there is no solution.</w:t>
      </w:r>
    </w:p>
    <w:p>
      <w:pPr>
        <w:pStyle w:val="Normal"/>
        <w:numPr>
          <w:ilvl w:val="0"/>
          <w:numId w:val="2"/>
        </w:numPr>
        <w:rPr>
          <w:sz w:val="20"/>
        </w:rPr>
      </w:pPr>
      <w:r>
        <w:rPr>
          <w:sz w:val="20"/>
        </w:rPr>
        <w:t>Over the past decade, additions to California’s stock of power plants have been negligible</w:t>
      </w:r>
    </w:p>
    <w:p>
      <w:pPr>
        <w:pStyle w:val="Normal"/>
        <w:rPr>
          <w:sz w:val="20"/>
        </w:rPr>
      </w:pPr>
      <w:r>
        <w:rPr>
          <w:sz w:val="20"/>
        </w:rPr>
      </w:r>
    </w:p>
    <w:p>
      <w:pPr>
        <w:pStyle w:val="Normal"/>
        <w:jc w:val="center"/>
        <w:rPr>
          <w:b/>
          <w:bCs/>
          <w:sz w:val="20"/>
        </w:rPr>
      </w:pPr>
      <w:r>
        <w:rPr>
          <w:b/>
          <w:bCs/>
          <w:sz w:val="20"/>
        </w:rPr>
        <w:t>Growth in California for the period 1990-1999</w:t>
      </w:r>
    </w:p>
    <w:p>
      <w:pPr>
        <w:pStyle w:val="Normal"/>
        <w:jc w:val="center"/>
        <w:rPr>
          <w:b/>
          <w:bCs/>
          <w:sz w:val="20"/>
        </w:rPr>
      </w:pPr>
      <w:r>
        <w:rPr>
          <w:b/>
          <w:bCs/>
          <w:sz w:val="20"/>
        </w:rPr>
      </w:r>
    </w:p>
    <w:tbl>
      <w:tblPr>
        <w:tblW w:w="3348" w:type="dxa"/>
        <w:jc w:val="start"/>
        <w:tblInd w:w="2628" w:type="dxa"/>
        <w:tblLayout w:type="fixed"/>
        <w:tblCellMar>
          <w:top w:w="0" w:type="dxa"/>
          <w:start w:w="108" w:type="dxa"/>
          <w:bottom w:w="0" w:type="dxa"/>
          <w:end w:w="108" w:type="dxa"/>
        </w:tblCellMar>
      </w:tblPr>
      <w:tblGrid>
        <w:gridCol w:w="2628"/>
        <w:gridCol w:w="720"/>
      </w:tblGrid>
      <w:tr>
        <w:trPr/>
        <w:tc>
          <w:tcPr>
            <w:tcW w:w="262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Employment</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12%</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Population</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16%</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State economy</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45%</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Electronics and instruments industry</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62%</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Communications industry</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80%</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Natural gas use</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6%</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Electricity use</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Peak electric demand</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15%</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Peak demand in Silicon Valley (1996-2000)</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33%</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color w:val="FF0000"/>
                <w:sz w:val="20"/>
                <w:highlight w:val="yellow"/>
              </w:rPr>
            </w:pPr>
            <w:r>
              <w:rPr>
                <w:i/>
                <w:iCs/>
                <w:color w:val="FF0000"/>
                <w:sz w:val="20"/>
                <w:highlight w:val="yellow"/>
              </w:rPr>
              <w:t>Power Generation Capacity</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FF0000"/>
                <w:sz w:val="20"/>
              </w:rPr>
            </w:pPr>
            <w:r>
              <w:rPr>
                <w:color w:val="FF0000"/>
                <w:sz w:val="20"/>
                <w:highlight w:val="yellow"/>
              </w:rPr>
              <w:t>2%</w:t>
            </w:r>
          </w:p>
        </w:tc>
      </w:tr>
    </w:tbl>
    <w:p>
      <w:pPr>
        <w:pStyle w:val="Normal"/>
        <w:rPr>
          <w:sz w:val="20"/>
        </w:rPr>
      </w:pPr>
      <w:r>
        <w:rPr>
          <w:sz w:val="20"/>
        </w:rPr>
      </w:r>
    </w:p>
    <w:p>
      <w:pPr>
        <w:pStyle w:val="Heading2"/>
        <w:ind w:hanging="0" w:start="0"/>
        <w:rPr/>
      </w:pPr>
      <w:r>
        <w:rPr/>
        <w:t>The Solution—Build more power plants</w:t>
      </w:r>
    </w:p>
    <w:p>
      <w:pPr>
        <w:pStyle w:val="Normal"/>
        <w:numPr>
          <w:ilvl w:val="0"/>
          <w:numId w:val="2"/>
        </w:numPr>
        <w:rPr>
          <w:sz w:val="20"/>
        </w:rPr>
      </w:pPr>
      <w:r>
        <w:rPr>
          <w:sz w:val="20"/>
        </w:rPr>
        <w:t>The Governor has taken some important first steps by using his executive powers to streamline plant siting</w:t>
      </w:r>
    </w:p>
    <w:p>
      <w:pPr>
        <w:pStyle w:val="Normal"/>
        <w:numPr>
          <w:ilvl w:val="0"/>
          <w:numId w:val="2"/>
        </w:numPr>
        <w:rPr>
          <w:sz w:val="20"/>
        </w:rPr>
      </w:pPr>
      <w:r>
        <w:rPr>
          <w:sz w:val="20"/>
        </w:rPr>
        <w:t>According to the California Energy Commission, California has approved 13 power plants totaling 8,512 MWs</w:t>
      </w:r>
    </w:p>
    <w:p>
      <w:pPr>
        <w:pStyle w:val="Normal"/>
        <w:numPr>
          <w:ilvl w:val="0"/>
          <w:numId w:val="2"/>
        </w:numPr>
        <w:rPr>
          <w:sz w:val="20"/>
        </w:rPr>
      </w:pPr>
      <w:r>
        <w:rPr>
          <w:sz w:val="20"/>
        </w:rPr>
        <w:t>California will need every one of those plants—and more—to dig itself out of its energy hole</w:t>
      </w:r>
    </w:p>
    <w:p>
      <w:pPr>
        <w:pStyle w:val="Normal"/>
        <w:numPr>
          <w:ilvl w:val="0"/>
          <w:numId w:val="2"/>
        </w:numPr>
        <w:rPr>
          <w:sz w:val="20"/>
        </w:rPr>
      </w:pPr>
      <w:r>
        <w:rPr>
          <w:sz w:val="20"/>
        </w:rPr>
        <w:t>The Governor has also appointed a “supply czar” who’s sole mission is to ensure that the plants that receive permits don’t face unnecessary impediments during the construction phase</w:t>
      </w:r>
    </w:p>
    <w:p>
      <w:pPr>
        <w:pStyle w:val="Normal"/>
        <w:numPr>
          <w:ilvl w:val="0"/>
          <w:numId w:val="2"/>
        </w:numPr>
        <w:rPr>
          <w:sz w:val="20"/>
        </w:rPr>
      </w:pPr>
      <w:r>
        <w:rPr>
          <w:sz w:val="20"/>
        </w:rPr>
        <w:t>If those plants don’t get built on, or ahead of, schedule, California’s energy crisis will persist</w:t>
      </w:r>
    </w:p>
    <w:p>
      <w:pPr>
        <w:pStyle w:val="Heading3"/>
        <w:ind w:hanging="0" w:start="0"/>
        <w:rPr>
          <w:b w:val="false"/>
          <w:bCs w:val="false"/>
        </w:rPr>
      </w:pPr>
      <w:r>
        <w:rPr>
          <w:b w:val="false"/>
          <w:bCs w:val="false"/>
        </w:rPr>
        <w:t>Don’t make matters worse</w:t>
      </w:r>
    </w:p>
    <w:p>
      <w:pPr>
        <w:pStyle w:val="Normal"/>
        <w:numPr>
          <w:ilvl w:val="0"/>
          <w:numId w:val="2"/>
        </w:numPr>
        <w:rPr>
          <w:sz w:val="20"/>
        </w:rPr>
      </w:pPr>
      <w:r>
        <w:rPr>
          <w:sz w:val="20"/>
        </w:rPr>
        <w:t>Unfortunately, other actions taken by the California’s political leaders threaten to seriously discourage power plant investment in California.  These actions include:</w:t>
      </w:r>
    </w:p>
    <w:p>
      <w:pPr>
        <w:pStyle w:val="Normal"/>
        <w:numPr>
          <w:ilvl w:val="0"/>
          <w:numId w:val="3"/>
        </w:numPr>
        <w:rPr>
          <w:sz w:val="20"/>
        </w:rPr>
      </w:pPr>
      <w:r>
        <w:rPr>
          <w:sz w:val="20"/>
        </w:rPr>
        <w:t>Legislation that would 1) impose a “windfall profits” tax on power sold in California and 2) make it a felony to sell power at a price that California finds “unreasonable.”</w:t>
      </w:r>
    </w:p>
    <w:p>
      <w:pPr>
        <w:pStyle w:val="Normal"/>
        <w:numPr>
          <w:ilvl w:val="0"/>
          <w:numId w:val="3"/>
        </w:numPr>
        <w:rPr>
          <w:sz w:val="20"/>
        </w:rPr>
      </w:pPr>
      <w:r>
        <w:rPr>
          <w:sz w:val="20"/>
        </w:rPr>
        <w:t>Continued calls for price controls in wholesale power markets—as every experience with price controls shows, price caps won’t lower electricity prices, they will only create shortages (“black outs”).</w:t>
      </w:r>
    </w:p>
    <w:p>
      <w:pPr>
        <w:pStyle w:val="Normal"/>
        <w:numPr>
          <w:ilvl w:val="0"/>
          <w:numId w:val="3"/>
        </w:numPr>
        <w:rPr>
          <w:sz w:val="20"/>
        </w:rPr>
      </w:pPr>
      <w:r>
        <w:rPr>
          <w:sz w:val="20"/>
        </w:rPr>
        <w:t>Countless investigations into allegations that suppliers manipulated power prices, and proposals to have the State confiscate privately-held power plants</w:t>
      </w:r>
    </w:p>
    <w:p>
      <w:pPr>
        <w:pStyle w:val="Normal"/>
        <w:numPr>
          <w:ilvl w:val="0"/>
          <w:numId w:val="3"/>
        </w:numPr>
        <w:rPr>
          <w:sz w:val="20"/>
        </w:rPr>
      </w:pPr>
      <w:r>
        <w:rPr>
          <w:sz w:val="20"/>
        </w:rPr>
        <w:t>Endless statements by California’s Attorney General and other political leaders accusing power suppliers of criminal activity—and worse</w:t>
      </w:r>
    </w:p>
    <w:p>
      <w:pPr>
        <w:pStyle w:val="Normal"/>
        <w:numPr>
          <w:ilvl w:val="0"/>
          <w:numId w:val="2"/>
        </w:numPr>
        <w:rPr>
          <w:sz w:val="20"/>
        </w:rPr>
      </w:pPr>
      <w:r>
        <w:rPr>
          <w:sz w:val="20"/>
        </w:rPr>
        <w:t xml:space="preserve">In this environment, it may not matter how many power plant approvals California rushes through the process, capital markets may simply refuse to invest </w:t>
      </w:r>
    </w:p>
    <w:p>
      <w:pPr>
        <w:pStyle w:val="Normal"/>
        <w:numPr>
          <w:ilvl w:val="0"/>
          <w:numId w:val="2"/>
        </w:numPr>
        <w:rPr>
          <w:sz w:val="20"/>
        </w:rPr>
      </w:pPr>
      <w:r>
        <w:rPr>
          <w:sz w:val="20"/>
        </w:rPr>
        <w:t>The problem is exacerbated by short-term constraints on the supply of turbines. The need for increased generation capacity is a global trend.  And in the competition for scarce turbines, the actions and strong rhetoric of California’s political leaders have created a “anywhere but California” attitude among those who possess the turbines</w:t>
      </w:r>
    </w:p>
    <w:p>
      <w:pPr>
        <w:pStyle w:val="Normal"/>
        <w:numPr>
          <w:ilvl w:val="0"/>
          <w:numId w:val="2"/>
        </w:numPr>
        <w:rPr>
          <w:sz w:val="20"/>
        </w:rPr>
      </w:pPr>
      <w:r>
        <w:rPr>
          <w:sz w:val="20"/>
        </w:rPr>
        <w:t>To get new power plants built, California must do everything it can to attract capital to the state</w:t>
      </w:r>
    </w:p>
    <w:p>
      <w:pPr>
        <w:pStyle w:val="Normal"/>
        <w:numPr>
          <w:ilvl w:val="0"/>
          <w:numId w:val="2"/>
        </w:numPr>
        <w:rPr>
          <w:sz w:val="20"/>
        </w:rPr>
      </w:pPr>
      <w:r>
        <w:rPr>
          <w:sz w:val="20"/>
        </w:rPr>
        <w:t>The rhetoric and bad legislation—and the signal they both send to the capital markets—must end</w:t>
      </w:r>
    </w:p>
    <w:p>
      <w:pPr>
        <w:pStyle w:val="Normal"/>
        <w:rPr>
          <w:sz w:val="20"/>
        </w:rPr>
      </w:pPr>
      <w:r>
        <w:rPr>
          <w:sz w:val="20"/>
        </w:rPr>
      </w:r>
    </w:p>
    <w:p>
      <w:pPr>
        <w:pStyle w:val="Heading2"/>
        <w:ind w:hanging="0" w:start="0"/>
        <w:rPr>
          <w:i w:val="false"/>
          <w:i w:val="false"/>
          <w:iCs w:val="false"/>
        </w:rPr>
      </w:pPr>
      <w:r>
        <w:rPr/>
        <w:t>Likely retort from advocates of investigations and high-pitched rhetoric</w:t>
      </w:r>
    </w:p>
    <w:p>
      <w:pPr>
        <w:pStyle w:val="Normal"/>
        <w:numPr>
          <w:ilvl w:val="0"/>
          <w:numId w:val="2"/>
        </w:numPr>
        <w:rPr>
          <w:sz w:val="20"/>
        </w:rPr>
      </w:pPr>
      <w:r>
        <w:rPr>
          <w:sz w:val="20"/>
        </w:rPr>
        <w:t>“</w:t>
      </w:r>
      <w:r>
        <w:rPr>
          <w:sz w:val="20"/>
        </w:rPr>
        <w:t xml:space="preserve">These bills (and the rhetoric) aren’t serious and likely won’t pass.  They are merely a tactic to bring the suppliers to the bargaining table and get them to forgive a portion of the utilities’ debt.” </w:t>
      </w:r>
    </w:p>
    <w:p>
      <w:pPr>
        <w:pStyle w:val="Heading2"/>
        <w:ind w:hanging="0" w:start="0"/>
        <w:rPr/>
      </w:pPr>
      <w:r>
        <w:rPr/>
        <w:t>Response</w:t>
      </w:r>
    </w:p>
    <w:p>
      <w:pPr>
        <w:pStyle w:val="Normal"/>
        <w:numPr>
          <w:ilvl w:val="0"/>
          <w:numId w:val="2"/>
        </w:numPr>
        <w:rPr>
          <w:sz w:val="20"/>
        </w:rPr>
      </w:pPr>
      <w:r>
        <w:rPr>
          <w:sz w:val="20"/>
        </w:rPr>
        <w:t>We have a legal system and a set of laws to address allegations of price manipulation.</w:t>
      </w:r>
    </w:p>
    <w:p>
      <w:pPr>
        <w:pStyle w:val="Normal"/>
        <w:numPr>
          <w:ilvl w:val="0"/>
          <w:numId w:val="2"/>
        </w:numPr>
        <w:rPr>
          <w:sz w:val="20"/>
        </w:rPr>
      </w:pPr>
      <w:r>
        <w:rPr>
          <w:sz w:val="20"/>
        </w:rPr>
        <w:t>Allegations of manipulation should be addressed using the means available.</w:t>
      </w:r>
    </w:p>
    <w:p>
      <w:pPr>
        <w:pStyle w:val="Normal"/>
        <w:numPr>
          <w:ilvl w:val="0"/>
          <w:numId w:val="2"/>
        </w:numPr>
        <w:rPr>
          <w:sz w:val="20"/>
        </w:rPr>
      </w:pPr>
      <w:r>
        <w:rPr>
          <w:sz w:val="20"/>
        </w:rPr>
        <w:t>Every rhetorical statement and piece of bad legislation has two effects:  1) they create uncertainty in the markets, and uncertainty makes electricity prices go up; and 2) they incent capital markets to look outside of California to invest</w:t>
      </w:r>
    </w:p>
    <w:p>
      <w:pPr>
        <w:pStyle w:val="Normal"/>
        <w:numPr>
          <w:ilvl w:val="0"/>
          <w:numId w:val="2"/>
        </w:numPr>
        <w:rPr>
          <w:sz w:val="20"/>
        </w:rPr>
      </w:pPr>
      <w:r>
        <w:rPr>
          <w:sz w:val="20"/>
        </w:rPr>
        <w:t xml:space="preserve">Both outcomes are hurting California—time and resources are better spent achieving a solution </w:t>
      </w:r>
    </w:p>
    <w:p>
      <w:pPr>
        <w:pStyle w:val="Normal"/>
        <w:rPr>
          <w:sz w:val="20"/>
        </w:rPr>
      </w:pPr>
      <w:r>
        <w:rPr>
          <w:sz w:val="20"/>
        </w:rPr>
      </w:r>
    </w:p>
    <w:p>
      <w:pPr>
        <w:pStyle w:val="Heading1"/>
        <w:ind w:hanging="0" w:start="0"/>
        <w:rPr/>
      </w:pPr>
      <w:r>
        <w:rPr/>
        <w:t>2.</w:t>
        <w:tab/>
        <w:t>Decrease Demand</w:t>
      </w:r>
    </w:p>
    <w:p>
      <w:pPr>
        <w:pStyle w:val="Heading2"/>
        <w:ind w:hanging="0" w:start="0"/>
        <w:rPr/>
      </w:pPr>
      <w:r>
        <w:rPr/>
        <w:t>The Problem—Not enough supply to meet demand</w:t>
      </w:r>
    </w:p>
    <w:p>
      <w:pPr>
        <w:pStyle w:val="Normal"/>
        <w:numPr>
          <w:ilvl w:val="0"/>
          <w:numId w:val="2"/>
        </w:numPr>
        <w:rPr>
          <w:sz w:val="20"/>
        </w:rPr>
      </w:pPr>
      <w:r>
        <w:rPr>
          <w:sz w:val="20"/>
        </w:rPr>
        <w:t>California’s 1998 electricity restructuring law  (“AB 1890”) froze rates at 1998 levels.</w:t>
      </w:r>
    </w:p>
    <w:p>
      <w:pPr>
        <w:pStyle w:val="Normal"/>
        <w:numPr>
          <w:ilvl w:val="0"/>
          <w:numId w:val="2"/>
        </w:numPr>
        <w:rPr>
          <w:sz w:val="20"/>
        </w:rPr>
      </w:pPr>
      <w:r>
        <w:rPr>
          <w:sz w:val="20"/>
        </w:rPr>
        <w:t>This aspect of the law artificially stimulated demand since consumers weren’t paying a price for electricity that reflected the true cost of making the electricity</w:t>
      </w:r>
    </w:p>
    <w:p>
      <w:pPr>
        <w:pStyle w:val="Normal"/>
        <w:numPr>
          <w:ilvl w:val="0"/>
          <w:numId w:val="2"/>
        </w:numPr>
        <w:rPr>
          <w:sz w:val="20"/>
        </w:rPr>
      </w:pPr>
      <w:r>
        <w:rPr>
          <w:sz w:val="20"/>
        </w:rPr>
        <w:t>California has also kept electricity prices low by its refusal to invest in power plants and transmission lines—if there’s no investment, there’s no need to raise rates</w:t>
      </w:r>
    </w:p>
    <w:p>
      <w:pPr>
        <w:pStyle w:val="Normal"/>
        <w:numPr>
          <w:ilvl w:val="0"/>
          <w:numId w:val="2"/>
        </w:numPr>
        <w:rPr>
          <w:sz w:val="20"/>
        </w:rPr>
      </w:pPr>
      <w:r>
        <w:rPr>
          <w:sz w:val="20"/>
        </w:rPr>
        <w:t>California’s desire to subsidize power prices and put off investments in power plants and transmission has caused a shortage, which has increased wholesale prices—the principles of supply and demand</w:t>
      </w:r>
    </w:p>
    <w:p>
      <w:pPr>
        <w:pStyle w:val="Normal"/>
        <w:rPr>
          <w:i/>
          <w:i/>
          <w:iCs/>
          <w:sz w:val="20"/>
        </w:rPr>
      </w:pPr>
      <w:r>
        <w:rPr>
          <w:i/>
          <w:iCs/>
          <w:sz w:val="20"/>
        </w:rPr>
        <w:t>The Solution—use prices to give consumers financial incentives to conserve</w:t>
      </w:r>
    </w:p>
    <w:p>
      <w:pPr>
        <w:pStyle w:val="Normal"/>
        <w:numPr>
          <w:ilvl w:val="0"/>
          <w:numId w:val="2"/>
        </w:numPr>
        <w:rPr>
          <w:sz w:val="20"/>
        </w:rPr>
      </w:pPr>
      <w:r>
        <w:rPr>
          <w:sz w:val="20"/>
        </w:rPr>
        <w:t>California has finally recognized that rates must rise in order to 1) cover the costs of producing power and 2) give consumers correct market signals and refrain from artificially stimulating demand (that California doesn’t have the supply to meet)</w:t>
      </w:r>
    </w:p>
    <w:p>
      <w:pPr>
        <w:pStyle w:val="Normal"/>
        <w:numPr>
          <w:ilvl w:val="0"/>
          <w:numId w:val="2"/>
        </w:numPr>
        <w:rPr>
          <w:sz w:val="20"/>
        </w:rPr>
      </w:pPr>
      <w:r>
        <w:rPr>
          <w:sz w:val="20"/>
        </w:rPr>
        <w:t>Because electricity cannot be stored, the cost of producing it varies by season and by time of day (prices are highest when demand is highest, and vice-versa).</w:t>
      </w:r>
    </w:p>
    <w:p>
      <w:pPr>
        <w:pStyle w:val="Normal"/>
        <w:numPr>
          <w:ilvl w:val="0"/>
          <w:numId w:val="2"/>
        </w:numPr>
        <w:rPr>
          <w:sz w:val="20"/>
        </w:rPr>
      </w:pPr>
      <w:r>
        <w:rPr>
          <w:sz w:val="20"/>
        </w:rPr>
        <w:t>Thus, to ensure that electricity is directed to its most valued use, prices should vary throughout the day to reflect the fact that the cost of producing it varies throughout the day—this form of pricing is called “real-time pricing” and requires a sophisticated meter that most businesses customers already possess.</w:t>
      </w:r>
    </w:p>
    <w:p>
      <w:pPr>
        <w:pStyle w:val="Normal"/>
        <w:numPr>
          <w:ilvl w:val="0"/>
          <w:numId w:val="2"/>
        </w:numPr>
        <w:rPr>
          <w:sz w:val="20"/>
        </w:rPr>
      </w:pPr>
      <w:r>
        <w:rPr>
          <w:sz w:val="20"/>
        </w:rPr>
        <w:t>By charging a price for electricity that more accurately reflects its value, customers will have a strong incentive to conserve.</w:t>
      </w:r>
    </w:p>
    <w:p>
      <w:pPr>
        <w:pStyle w:val="Normal"/>
        <w:numPr>
          <w:ilvl w:val="0"/>
          <w:numId w:val="2"/>
        </w:numPr>
        <w:rPr>
          <w:sz w:val="20"/>
        </w:rPr>
      </w:pPr>
      <w:r>
        <w:rPr>
          <w:sz w:val="20"/>
        </w:rPr>
        <w:t>California should take an additional step beyond real-time pricing in the attempt to avoid blackouts this summer.</w:t>
      </w:r>
    </w:p>
    <w:p>
      <w:pPr>
        <w:pStyle w:val="Normal"/>
        <w:numPr>
          <w:ilvl w:val="0"/>
          <w:numId w:val="2"/>
        </w:numPr>
        <w:rPr>
          <w:sz w:val="20"/>
        </w:rPr>
      </w:pPr>
      <w:r>
        <w:rPr>
          <w:sz w:val="20"/>
        </w:rPr>
        <w:t>California should provide additional financial incentives to get consumers and businesses to conserve.</w:t>
      </w:r>
    </w:p>
    <w:p>
      <w:pPr>
        <w:pStyle w:val="Normal"/>
        <w:numPr>
          <w:ilvl w:val="1"/>
          <w:numId w:val="2"/>
        </w:numPr>
        <w:tabs>
          <w:tab w:val="clear" w:pos="720"/>
        </w:tabs>
        <w:ind w:hanging="360" w:start="720" w:end="0"/>
        <w:rPr>
          <w:sz w:val="20"/>
        </w:rPr>
      </w:pPr>
      <w:r>
        <w:rPr>
          <w:sz w:val="20"/>
        </w:rPr>
        <w:t>Set a “baseline quantity of consumption” (e.g., the customer’s monthly consumption for the previous year)</w:t>
      </w:r>
    </w:p>
    <w:p>
      <w:pPr>
        <w:pStyle w:val="Normal"/>
        <w:numPr>
          <w:ilvl w:val="1"/>
          <w:numId w:val="2"/>
        </w:numPr>
        <w:tabs>
          <w:tab w:val="clear" w:pos="720"/>
        </w:tabs>
        <w:ind w:hanging="360" w:start="720" w:end="0"/>
        <w:rPr>
          <w:sz w:val="20"/>
        </w:rPr>
      </w:pPr>
      <w:r>
        <w:rPr>
          <w:sz w:val="20"/>
        </w:rPr>
        <w:t xml:space="preserve">If the customer consumes </w:t>
      </w:r>
      <w:r>
        <w:rPr>
          <w:b/>
          <w:bCs/>
          <w:i/>
          <w:iCs/>
          <w:sz w:val="20"/>
        </w:rPr>
        <w:t>less</w:t>
      </w:r>
      <w:r>
        <w:rPr>
          <w:sz w:val="20"/>
        </w:rPr>
        <w:t xml:space="preserve"> than the baseline, the customer is compensated for every kilowatt-hour saved at the market price for power (e.g., if the customer saves 100 kilowatt-hours, and the market price for power is 10 cents, then the customer is compensated $10.)</w:t>
      </w:r>
    </w:p>
    <w:p>
      <w:pPr>
        <w:pStyle w:val="Normal"/>
        <w:numPr>
          <w:ilvl w:val="1"/>
          <w:numId w:val="2"/>
        </w:numPr>
        <w:tabs>
          <w:tab w:val="clear" w:pos="720"/>
        </w:tabs>
        <w:ind w:hanging="360" w:start="720" w:end="0"/>
        <w:rPr>
          <w:sz w:val="20"/>
        </w:rPr>
      </w:pPr>
      <w:r>
        <w:rPr>
          <w:sz w:val="20"/>
        </w:rPr>
        <w:t xml:space="preserve">If the customer consumers </w:t>
      </w:r>
      <w:r>
        <w:rPr>
          <w:b/>
          <w:bCs/>
          <w:i/>
          <w:iCs/>
          <w:sz w:val="20"/>
        </w:rPr>
        <w:t>more</w:t>
      </w:r>
      <w:r>
        <w:rPr>
          <w:sz w:val="20"/>
        </w:rPr>
        <w:t xml:space="preserve"> than the baseline, the customer is penalized for every kilowatt-hour above the baseline at the market price for power (e.g., if the customer uses 100 kilowatt-hours over the baseline, and the market price for power is 20 cents, then the customer is “penalized” $20.)</w:t>
      </w:r>
    </w:p>
    <w:p>
      <w:pPr>
        <w:pStyle w:val="Normal"/>
        <w:ind w:start="360" w:end="0"/>
        <w:rPr>
          <w:sz w:val="20"/>
        </w:rPr>
      </w:pPr>
      <w:r>
        <w:rPr>
          <w:sz w:val="20"/>
        </w:rPr>
      </w:r>
    </w:p>
    <w:p>
      <w:pPr>
        <w:pStyle w:val="Heading2"/>
        <w:ind w:hanging="0" w:start="0"/>
        <w:rPr/>
      </w:pPr>
      <w:r>
        <w:rPr/>
        <w:t>Possible response from detractors</w:t>
      </w:r>
    </w:p>
    <w:p>
      <w:pPr>
        <w:pStyle w:val="Normal"/>
        <w:numPr>
          <w:ilvl w:val="0"/>
          <w:numId w:val="2"/>
        </w:numPr>
        <w:rPr>
          <w:sz w:val="20"/>
        </w:rPr>
      </w:pPr>
      <w:r>
        <w:rPr>
          <w:sz w:val="20"/>
        </w:rPr>
        <w:t>“</w:t>
      </w:r>
      <w:r>
        <w:rPr>
          <w:sz w:val="20"/>
        </w:rPr>
        <w:t>Why should we pay customers for conserving?  After all, it’s the right thing to do.”</w:t>
      </w:r>
    </w:p>
    <w:p>
      <w:pPr>
        <w:pStyle w:val="Heading2"/>
        <w:ind w:hanging="0" w:start="0"/>
        <w:rPr/>
      </w:pPr>
      <w:r>
        <w:rPr/>
        <w:t>Response</w:t>
      </w:r>
    </w:p>
    <w:p>
      <w:pPr>
        <w:pStyle w:val="Normal"/>
        <w:numPr>
          <w:ilvl w:val="0"/>
          <w:numId w:val="2"/>
        </w:numPr>
        <w:rPr>
          <w:sz w:val="20"/>
        </w:rPr>
      </w:pPr>
      <w:r>
        <w:rPr>
          <w:sz w:val="20"/>
        </w:rPr>
        <w:t xml:space="preserve">California faces the severe threat of frequent blackouts this summer.  McKinsey &amp; Co. has estimated that the rate increases proposed for Bay Area businesses will impose an estimated economic cost of $500 million on the Bay Area economy.  </w:t>
      </w:r>
      <w:r>
        <w:rPr>
          <w:i/>
          <w:iCs/>
          <w:sz w:val="20"/>
        </w:rPr>
        <w:t>The same report estimates that the cost of blackouts on the Bay Area economy could range from $2-16 billion</w:t>
      </w:r>
      <w:r>
        <w:rPr>
          <w:sz w:val="20"/>
        </w:rPr>
        <w:t xml:space="preserve">. </w:t>
      </w:r>
    </w:p>
    <w:p>
      <w:pPr>
        <w:pStyle w:val="Normal"/>
        <w:numPr>
          <w:ilvl w:val="0"/>
          <w:numId w:val="2"/>
        </w:numPr>
        <w:rPr>
          <w:sz w:val="20"/>
        </w:rPr>
      </w:pPr>
      <w:r>
        <w:rPr>
          <w:sz w:val="20"/>
        </w:rPr>
        <w:t>The financial incentive paid per kilowatt of savings is likely to cost less per kilowatt-hour than buying electricity in the wholesale market.</w:t>
      </w:r>
    </w:p>
    <w:p>
      <w:pPr>
        <w:pStyle w:val="Heading1"/>
        <w:ind w:hanging="0" w:start="0"/>
        <w:rPr>
          <w:sz w:val="20"/>
        </w:rPr>
      </w:pPr>
      <w:r>
        <w:rPr>
          <w:sz w:val="20"/>
        </w:rPr>
      </w:r>
    </w:p>
    <w:p>
      <w:pPr>
        <w:pStyle w:val="Heading1"/>
        <w:ind w:hanging="0" w:start="0"/>
        <w:rPr/>
      </w:pPr>
      <w:r>
        <w:rPr/>
        <w:t>3.</w:t>
        <w:tab/>
        <w:t>Make the utilities creditworthy</w:t>
      </w:r>
    </w:p>
    <w:p>
      <w:pPr>
        <w:pStyle w:val="Heading2"/>
        <w:ind w:hanging="0" w:start="0"/>
        <w:rPr/>
      </w:pPr>
      <w:r>
        <w:rPr/>
        <w:t>The problem—the electricity crisis has resulted in utilities that are no longer creditworthy</w:t>
      </w:r>
    </w:p>
    <w:p>
      <w:pPr>
        <w:pStyle w:val="Normal"/>
        <w:numPr>
          <w:ilvl w:val="0"/>
          <w:numId w:val="2"/>
        </w:numPr>
        <w:rPr>
          <w:sz w:val="20"/>
        </w:rPr>
      </w:pPr>
      <w:r>
        <w:rPr>
          <w:sz w:val="20"/>
        </w:rPr>
        <w:t>California’s retail price freeze, combined with increasing wholesale prices, contributed significantly to PG&amp;E’s bankruptcy and threatens to throw Southern California Edison into bankruptcy as well.</w:t>
      </w:r>
    </w:p>
    <w:p>
      <w:pPr>
        <w:pStyle w:val="Normal"/>
        <w:numPr>
          <w:ilvl w:val="0"/>
          <w:numId w:val="2"/>
        </w:numPr>
        <w:rPr>
          <w:sz w:val="20"/>
        </w:rPr>
      </w:pPr>
      <w:r>
        <w:rPr>
          <w:sz w:val="20"/>
        </w:rPr>
        <w:t>As a result, the utilities have not been, and are not currently, creditworthy, which has forced the State to assume the role of power provider on behalf of the utilities.</w:t>
      </w:r>
    </w:p>
    <w:p>
      <w:pPr>
        <w:pStyle w:val="Heading2"/>
        <w:ind w:hanging="0" w:start="0"/>
        <w:rPr/>
      </w:pPr>
      <w:r>
        <w:rPr/>
        <w:t>The solution—set electric rates with the goal of making the utilities creditworthy</w:t>
      </w:r>
    </w:p>
    <w:p>
      <w:pPr>
        <w:pStyle w:val="Normal"/>
        <w:numPr>
          <w:ilvl w:val="0"/>
          <w:numId w:val="2"/>
        </w:numPr>
        <w:rPr>
          <w:sz w:val="20"/>
        </w:rPr>
      </w:pPr>
      <w:r>
        <w:rPr>
          <w:sz w:val="20"/>
        </w:rPr>
        <w:t>To return the utilities to creditworthiness, electricity rates must be adequate to cover the utilities’ past debts and future costs.</w:t>
      </w:r>
    </w:p>
    <w:p>
      <w:pPr>
        <w:pStyle w:val="Normal"/>
        <w:numPr>
          <w:ilvl w:val="0"/>
          <w:numId w:val="2"/>
        </w:numPr>
        <w:rPr>
          <w:sz w:val="20"/>
        </w:rPr>
      </w:pPr>
      <w:r>
        <w:rPr>
          <w:sz w:val="20"/>
        </w:rPr>
        <w:t>After considerable delay, California has finally made the important decision to align electricity rates with the costs of producing electricity.</w:t>
      </w:r>
    </w:p>
    <w:p>
      <w:pPr>
        <w:pStyle w:val="Normal"/>
        <w:numPr>
          <w:ilvl w:val="0"/>
          <w:numId w:val="2"/>
        </w:numPr>
        <w:rPr>
          <w:sz w:val="20"/>
        </w:rPr>
      </w:pPr>
      <w:r>
        <w:rPr>
          <w:sz w:val="20"/>
        </w:rPr>
        <w:t>The rate increase proposed by the PUC is a step in the right direction to return to the utilities to creditworthiness, but the PUC decision fails to address the utilities’ past debts.</w:t>
      </w:r>
    </w:p>
    <w:p>
      <w:pPr>
        <w:pStyle w:val="Normal"/>
        <w:numPr>
          <w:ilvl w:val="0"/>
          <w:numId w:val="2"/>
        </w:numPr>
        <w:rPr>
          <w:sz w:val="20"/>
        </w:rPr>
      </w:pPr>
      <w:r>
        <w:rPr>
          <w:sz w:val="20"/>
        </w:rPr>
        <w:t>In addition, the PUC proposed rate increases unfairly place the lion’s share of the cost burden on businesses</w:t>
      </w:r>
    </w:p>
    <w:p>
      <w:pPr>
        <w:pStyle w:val="Normal"/>
        <w:numPr>
          <w:ilvl w:val="0"/>
          <w:numId w:val="2"/>
        </w:numPr>
        <w:rPr>
          <w:sz w:val="20"/>
        </w:rPr>
      </w:pPr>
      <w:r>
        <w:rPr>
          <w:sz w:val="20"/>
        </w:rPr>
        <w:t>By contrast, the MOU that the Governor signed with Edison addresses both past debts and future costs, and it is more equitable—under the Governor’s approach, PG&amp;E’s largest customers would see a 30% increase.</w:t>
      </w:r>
    </w:p>
    <w:p>
      <w:pPr>
        <w:pStyle w:val="Normal"/>
        <w:rPr>
          <w:sz w:val="20"/>
        </w:rPr>
      </w:pPr>
      <w:r>
        <w:rPr>
          <w:sz w:val="20"/>
        </w:rPr>
      </w:r>
    </w:p>
    <w:p>
      <w:pPr>
        <w:pStyle w:val="Heading2"/>
        <w:ind w:hanging="0" w:start="0"/>
        <w:rPr/>
      </w:pPr>
      <w:r>
        <w:rPr/>
        <w:t>Response from supporters of putting higher rate increases on large customers</w:t>
      </w:r>
    </w:p>
    <w:p>
      <w:pPr>
        <w:pStyle w:val="Normal"/>
        <w:numPr>
          <w:ilvl w:val="0"/>
          <w:numId w:val="2"/>
        </w:numPr>
        <w:rPr>
          <w:sz w:val="20"/>
        </w:rPr>
      </w:pPr>
      <w:r>
        <w:rPr>
          <w:sz w:val="20"/>
        </w:rPr>
        <w:t>Residential customers didn’t ask for deregulation, business did.  So business should pay for the mistakes, not residential customers.</w:t>
      </w:r>
    </w:p>
    <w:p>
      <w:pPr>
        <w:pStyle w:val="Heading2"/>
        <w:ind w:hanging="0" w:start="0"/>
        <w:rPr/>
      </w:pPr>
      <w:r>
        <w:rPr/>
        <w:t>Response</w:t>
      </w:r>
    </w:p>
    <w:p>
      <w:pPr>
        <w:pStyle w:val="Normal"/>
        <w:numPr>
          <w:ilvl w:val="0"/>
          <w:numId w:val="2"/>
        </w:numPr>
        <w:rPr>
          <w:sz w:val="20"/>
        </w:rPr>
      </w:pPr>
      <w:r>
        <w:rPr>
          <w:sz w:val="20"/>
        </w:rPr>
        <w:t xml:space="preserve">That may sound like good politics to some, but it’s very bad economics.  </w:t>
      </w:r>
    </w:p>
    <w:p>
      <w:pPr>
        <w:pStyle w:val="Normal"/>
        <w:numPr>
          <w:ilvl w:val="0"/>
          <w:numId w:val="2"/>
        </w:numPr>
        <w:rPr>
          <w:sz w:val="20"/>
        </w:rPr>
      </w:pPr>
      <w:r>
        <w:rPr>
          <w:sz w:val="20"/>
        </w:rPr>
        <w:t>Residential customers aren’t just electricity consumers, they’re employees, too.</w:t>
      </w:r>
    </w:p>
    <w:p>
      <w:pPr>
        <w:pStyle w:val="Normal"/>
        <w:numPr>
          <w:ilvl w:val="0"/>
          <w:numId w:val="2"/>
        </w:numPr>
        <w:rPr>
          <w:sz w:val="20"/>
        </w:rPr>
      </w:pPr>
      <w:r>
        <w:rPr>
          <w:sz w:val="20"/>
        </w:rPr>
        <w:t>It won’t do residential customers much good to have cheap electricity if they don’t have a job due to severe economic dislocations created by disproportionately higher electricity rates for California businesses.</w:t>
      </w:r>
    </w:p>
    <w:p>
      <w:pPr>
        <w:pStyle w:val="Heading1"/>
        <w:ind w:hanging="0" w:start="0"/>
        <w:rPr>
          <w:sz w:val="20"/>
        </w:rPr>
      </w:pPr>
      <w:r>
        <w:rPr>
          <w:sz w:val="20"/>
        </w:rPr>
      </w:r>
    </w:p>
    <w:p>
      <w:pPr>
        <w:pStyle w:val="Heading1"/>
        <w:ind w:hanging="0" w:start="0"/>
        <w:rPr>
          <w:b w:val="false"/>
          <w:bCs w:val="false"/>
        </w:rPr>
      </w:pPr>
      <w:r>
        <w:rPr/>
        <w:t>4.</w:t>
        <w:tab/>
        <w:t>Get California state government out of the power-buying business</w:t>
      </w:r>
    </w:p>
    <w:p>
      <w:pPr>
        <w:pStyle w:val="Heading2"/>
        <w:ind w:hanging="0" w:start="0"/>
        <w:rPr/>
      </w:pPr>
      <w:r>
        <w:rPr/>
        <w:t>The Problem—the State has no expertise and the purchases have strained the State budget</w:t>
      </w:r>
    </w:p>
    <w:p>
      <w:pPr>
        <w:pStyle w:val="Normal"/>
        <w:numPr>
          <w:ilvl w:val="0"/>
          <w:numId w:val="2"/>
        </w:numPr>
        <w:rPr>
          <w:sz w:val="20"/>
        </w:rPr>
      </w:pPr>
      <w:r>
        <w:rPr>
          <w:sz w:val="20"/>
        </w:rPr>
        <w:t>The utilities’ dire financial condition arguably forced the State into the role of power purchaser</w:t>
      </w:r>
    </w:p>
    <w:p>
      <w:pPr>
        <w:pStyle w:val="Normal"/>
        <w:numPr>
          <w:ilvl w:val="0"/>
          <w:numId w:val="2"/>
        </w:numPr>
        <w:rPr>
          <w:sz w:val="20"/>
        </w:rPr>
      </w:pPr>
      <w:r>
        <w:rPr>
          <w:sz w:val="20"/>
        </w:rPr>
        <w:t>But the magnitude of the purchases have strained the budget and prompted the ratings agency to downgrade the State’s credit rating (only Louisiana’s credit rating is currently lower)</w:t>
      </w:r>
    </w:p>
    <w:p>
      <w:pPr>
        <w:pStyle w:val="Normal"/>
        <w:numPr>
          <w:ilvl w:val="0"/>
          <w:numId w:val="2"/>
        </w:numPr>
        <w:rPr>
          <w:sz w:val="20"/>
        </w:rPr>
      </w:pPr>
      <w:r>
        <w:rPr>
          <w:sz w:val="20"/>
        </w:rPr>
        <w:t>Threats of additional downgrades have already been made by the ratings agencies</w:t>
      </w:r>
    </w:p>
    <w:p>
      <w:pPr>
        <w:pStyle w:val="Normal"/>
        <w:numPr>
          <w:ilvl w:val="0"/>
          <w:numId w:val="2"/>
        </w:numPr>
        <w:rPr>
          <w:sz w:val="20"/>
        </w:rPr>
      </w:pPr>
      <w:r>
        <w:rPr>
          <w:sz w:val="20"/>
        </w:rPr>
        <w:t>By all accounts, the State has shown that it has little, if any, competency in the area of power sales</w:t>
      </w:r>
    </w:p>
    <w:p>
      <w:pPr>
        <w:pStyle w:val="Normal"/>
        <w:numPr>
          <w:ilvl w:val="0"/>
          <w:numId w:val="2"/>
        </w:numPr>
        <w:rPr>
          <w:sz w:val="20"/>
        </w:rPr>
      </w:pPr>
      <w:r>
        <w:rPr>
          <w:sz w:val="20"/>
        </w:rPr>
        <w:t>Only the extreme voices in the debate recommend keeping the State in the power-buying business</w:t>
      </w:r>
    </w:p>
    <w:p>
      <w:pPr>
        <w:pStyle w:val="Heading2"/>
        <w:ind w:hanging="0" w:start="0"/>
        <w:rPr/>
      </w:pPr>
      <w:r>
        <w:rPr/>
        <w:t>The Solution—return the power-buying business to the utilities as soon as possible</w:t>
      </w:r>
    </w:p>
    <w:p>
      <w:pPr>
        <w:pStyle w:val="Normal"/>
        <w:numPr>
          <w:ilvl w:val="0"/>
          <w:numId w:val="2"/>
        </w:numPr>
        <w:rPr>
          <w:sz w:val="20"/>
        </w:rPr>
      </w:pPr>
      <w:r>
        <w:rPr>
          <w:sz w:val="20"/>
        </w:rPr>
        <w:t>The Governor’s proposed rate increases can return the utilities to creditworthiness</w:t>
      </w:r>
    </w:p>
    <w:p>
      <w:pPr>
        <w:pStyle w:val="Normal"/>
        <w:numPr>
          <w:ilvl w:val="0"/>
          <w:numId w:val="2"/>
        </w:numPr>
        <w:rPr>
          <w:sz w:val="20"/>
        </w:rPr>
      </w:pPr>
      <w:r>
        <w:rPr>
          <w:sz w:val="20"/>
        </w:rPr>
        <w:t>Once the rates are in place, the role of buying power can be returned to the utility very quickly (e.g., within 3-6 months)—note that the MOU agreed to by the Governor and Edison would put the power-buying role back in the hands of the utility in 18 months</w:t>
      </w:r>
    </w:p>
    <w:p>
      <w:pPr>
        <w:pStyle w:val="Normal"/>
        <w:numPr>
          <w:ilvl w:val="0"/>
          <w:numId w:val="2"/>
        </w:numPr>
        <w:rPr>
          <w:sz w:val="20"/>
        </w:rPr>
      </w:pPr>
      <w:r>
        <w:rPr>
          <w:sz w:val="20"/>
        </w:rPr>
        <w:t>Returning the function to the utility will save the State budget and put the procurement back in the hands of a private-sector entity—the utility—with expertise in the power-buying business</w:t>
      </w:r>
    </w:p>
    <w:p>
      <w:pPr>
        <w:pStyle w:val="Normal"/>
        <w:numPr>
          <w:ilvl w:val="0"/>
          <w:numId w:val="2"/>
        </w:numPr>
        <w:rPr>
          <w:sz w:val="20"/>
        </w:rPr>
      </w:pPr>
      <w:r>
        <w:rPr>
          <w:sz w:val="20"/>
        </w:rPr>
        <w:t>Likewise, it is bad public policy to have the State buy the utilities’ electric transmission assets</w:t>
      </w:r>
    </w:p>
    <w:p>
      <w:pPr>
        <w:pStyle w:val="Normal"/>
        <w:numPr>
          <w:ilvl w:val="1"/>
          <w:numId w:val="2"/>
        </w:numPr>
        <w:tabs>
          <w:tab w:val="clear" w:pos="720"/>
        </w:tabs>
        <w:ind w:hanging="360" w:start="720" w:end="0"/>
        <w:rPr>
          <w:sz w:val="20"/>
        </w:rPr>
      </w:pPr>
      <w:r>
        <w:rPr>
          <w:sz w:val="20"/>
        </w:rPr>
        <w:t>There is no political support whatsoever for a State takeover of the transmission assets</w:t>
      </w:r>
    </w:p>
    <w:p>
      <w:pPr>
        <w:pStyle w:val="Normal"/>
        <w:numPr>
          <w:ilvl w:val="1"/>
          <w:numId w:val="2"/>
        </w:numPr>
        <w:tabs>
          <w:tab w:val="clear" w:pos="720"/>
        </w:tabs>
        <w:ind w:hanging="360" w:start="720" w:end="0"/>
        <w:rPr>
          <w:sz w:val="20"/>
        </w:rPr>
      </w:pPr>
      <w:r>
        <w:rPr>
          <w:sz w:val="20"/>
        </w:rPr>
        <w:t xml:space="preserve">Though the original rationale for buying the assets was “to get additional cash to the utilities,” there are other ways of making up the difference (In place of the sale, for example, Edison’s rates would only have to increase by an additional 1.5-2.0 </w:t>
      </w:r>
      <w:r>
        <w:rPr>
          <w:b/>
          <w:bCs/>
          <w:i/>
          <w:iCs/>
          <w:sz w:val="20"/>
        </w:rPr>
        <w:t>tenths</w:t>
      </w:r>
      <w:r>
        <w:rPr>
          <w:sz w:val="20"/>
        </w:rPr>
        <w:t xml:space="preserve"> of one cent per kilo-watt hour—a small fraction of Edison’s 9.6 cent per kilowatt-hour average rate for the electricity portion of a customer’s bill.)</w:t>
      </w:r>
    </w:p>
    <w:p>
      <w:pPr>
        <w:pStyle w:val="Normal"/>
        <w:numPr>
          <w:ilvl w:val="1"/>
          <w:numId w:val="2"/>
        </w:numPr>
        <w:tabs>
          <w:tab w:val="clear" w:pos="720"/>
        </w:tabs>
        <w:ind w:hanging="360" w:start="720" w:end="0"/>
        <w:rPr>
          <w:sz w:val="20"/>
        </w:rPr>
      </w:pPr>
      <w:r>
        <w:rPr>
          <w:sz w:val="20"/>
        </w:rPr>
        <w:t>This provision of the MOU between Edison and the Governor should therefore be eliminated.</w:t>
      </w:r>
    </w:p>
    <w:p>
      <w:pPr>
        <w:pStyle w:val="Normal"/>
        <w:rPr>
          <w:sz w:val="20"/>
        </w:rPr>
      </w:pPr>
      <w:r>
        <w:rPr>
          <w:sz w:val="20"/>
        </w:rPr>
      </w:r>
    </w:p>
    <w:p>
      <w:pPr>
        <w:pStyle w:val="Heading2"/>
        <w:ind w:hanging="0" w:start="0"/>
        <w:rPr/>
      </w:pPr>
      <w:r>
        <w:rPr/>
        <w:t>Response from those who think it might take longer to put the role back in the utility</w:t>
      </w:r>
    </w:p>
    <w:p>
      <w:pPr>
        <w:pStyle w:val="Normal"/>
        <w:numPr>
          <w:ilvl w:val="0"/>
          <w:numId w:val="2"/>
        </w:numPr>
        <w:rPr>
          <w:sz w:val="20"/>
        </w:rPr>
      </w:pPr>
      <w:r>
        <w:rPr>
          <w:sz w:val="20"/>
        </w:rPr>
        <w:t>It will take longer than 3-6 months for the capital markets to get comfortable with the utility taking back the procurement function, since it’s the procurement function that led to their financial distress</w:t>
      </w:r>
    </w:p>
    <w:p>
      <w:pPr>
        <w:pStyle w:val="Normal"/>
        <w:rPr>
          <w:sz w:val="20"/>
        </w:rPr>
      </w:pPr>
      <w:r>
        <w:rPr>
          <w:sz w:val="20"/>
        </w:rPr>
      </w:r>
    </w:p>
    <w:p>
      <w:pPr>
        <w:pStyle w:val="Heading2"/>
        <w:ind w:hanging="0" w:start="0"/>
        <w:rPr/>
      </w:pPr>
      <w:r>
        <w:rPr/>
        <w:t>Response</w:t>
      </w:r>
    </w:p>
    <w:p>
      <w:pPr>
        <w:pStyle w:val="Normal"/>
        <w:numPr>
          <w:ilvl w:val="0"/>
          <w:numId w:val="2"/>
        </w:numPr>
        <w:rPr>
          <w:sz w:val="20"/>
        </w:rPr>
      </w:pPr>
      <w:r>
        <w:rPr>
          <w:sz w:val="20"/>
        </w:rPr>
        <w:t>If the rate increases are adequate and credible, then the capital markets will get comfortable very quickly.</w:t>
      </w:r>
    </w:p>
    <w:p>
      <w:pPr>
        <w:pStyle w:val="Normal"/>
        <w:numPr>
          <w:ilvl w:val="0"/>
          <w:numId w:val="2"/>
        </w:numPr>
        <w:rPr>
          <w:sz w:val="20"/>
        </w:rPr>
      </w:pPr>
      <w:r>
        <w:rPr>
          <w:sz w:val="20"/>
        </w:rPr>
        <w:t>Under those conditions, it makes no sense to keep the State in a role that it is extremely ill-suited to perform and put the State’s own financial position at risk.</w:t>
      </w:r>
    </w:p>
    <w:p>
      <w:pPr>
        <w:pStyle w:val="Heading1"/>
        <w:ind w:hanging="0" w:start="0"/>
        <w:rPr>
          <w:sz w:val="20"/>
        </w:rPr>
      </w:pPr>
      <w:r>
        <w:rPr>
          <w:sz w:val="20"/>
        </w:rPr>
      </w:r>
    </w:p>
    <w:p>
      <w:pPr>
        <w:pStyle w:val="Heading1"/>
        <w:ind w:hanging="0" w:start="0"/>
        <w:rPr/>
      </w:pPr>
      <w:r>
        <w:rPr/>
        <w:t>5.</w:t>
        <w:tab/>
        <w:t>Get Deregulation Right in California</w:t>
      </w:r>
    </w:p>
    <w:p>
      <w:pPr>
        <w:pStyle w:val="Heading2"/>
        <w:ind w:hanging="0" w:start="0"/>
        <w:rPr/>
      </w:pPr>
      <w:r>
        <w:rPr/>
        <w:t>The Problem—California Got Deregulation Terribly Wrong the First Try</w:t>
      </w:r>
    </w:p>
    <w:p>
      <w:pPr>
        <w:pStyle w:val="Normal"/>
        <w:numPr>
          <w:ilvl w:val="0"/>
          <w:numId w:val="2"/>
        </w:numPr>
        <w:rPr>
          <w:sz w:val="20"/>
        </w:rPr>
      </w:pPr>
      <w:r>
        <w:rPr>
          <w:sz w:val="20"/>
        </w:rPr>
        <w:t>Two things are clear:</w:t>
      </w:r>
    </w:p>
    <w:p>
      <w:pPr>
        <w:pStyle w:val="Normal"/>
        <w:numPr>
          <w:ilvl w:val="1"/>
          <w:numId w:val="2"/>
        </w:numPr>
        <w:tabs>
          <w:tab w:val="clear" w:pos="720"/>
        </w:tabs>
        <w:ind w:hanging="360" w:start="720" w:end="0"/>
        <w:rPr>
          <w:sz w:val="20"/>
        </w:rPr>
      </w:pPr>
      <w:r>
        <w:rPr>
          <w:sz w:val="20"/>
        </w:rPr>
        <w:t>Deregulation didn’t fail in California because California never deregulated.</w:t>
      </w:r>
    </w:p>
    <w:p>
      <w:pPr>
        <w:pStyle w:val="Normal"/>
        <w:numPr>
          <w:ilvl w:val="1"/>
          <w:numId w:val="2"/>
        </w:numPr>
        <w:tabs>
          <w:tab w:val="clear" w:pos="720"/>
        </w:tabs>
        <w:ind w:hanging="360" w:start="720" w:end="0"/>
        <w:rPr>
          <w:sz w:val="20"/>
        </w:rPr>
      </w:pPr>
      <w:r>
        <w:rPr>
          <w:sz w:val="20"/>
        </w:rPr>
        <w:t>Traditional command-and-control regulation did fail in California (and everywhere else in the US), which is why California turned to deregulation in the first place.</w:t>
      </w:r>
    </w:p>
    <w:p>
      <w:pPr>
        <w:pStyle w:val="Normal"/>
        <w:numPr>
          <w:ilvl w:val="0"/>
          <w:numId w:val="2"/>
        </w:numPr>
        <w:rPr>
          <w:sz w:val="20"/>
        </w:rPr>
      </w:pPr>
      <w:r>
        <w:rPr>
          <w:sz w:val="20"/>
        </w:rPr>
        <w:t>Returning to the old ways of command-and-control regulation is therefore not an option.</w:t>
      </w:r>
    </w:p>
    <w:p>
      <w:pPr>
        <w:pStyle w:val="Heading2"/>
        <w:ind w:hanging="0" w:start="0"/>
        <w:rPr/>
      </w:pPr>
      <w:r>
        <w:rPr/>
        <w:t>The Solution—Reject a return to old-style regulation and embark on true deregulation for California</w:t>
      </w:r>
    </w:p>
    <w:p>
      <w:pPr>
        <w:pStyle w:val="Normal"/>
        <w:numPr>
          <w:ilvl w:val="0"/>
          <w:numId w:val="2"/>
        </w:numPr>
        <w:rPr>
          <w:sz w:val="20"/>
        </w:rPr>
      </w:pPr>
      <w:r>
        <w:rPr>
          <w:sz w:val="20"/>
        </w:rPr>
        <w:t>Instead California must ensure that every consumer and business in the state has the right to hire and fire their energy service provider—that’s the one thing that California’s 1996 deregulation law got right.</w:t>
      </w:r>
    </w:p>
    <w:p>
      <w:pPr>
        <w:pStyle w:val="Normal"/>
        <w:numPr>
          <w:ilvl w:val="0"/>
          <w:numId w:val="2"/>
        </w:numPr>
        <w:rPr>
          <w:sz w:val="20"/>
        </w:rPr>
      </w:pPr>
      <w:r>
        <w:rPr>
          <w:sz w:val="20"/>
        </w:rPr>
        <w:t>When California passed the law this year authorizing the State to assume the role of power-buyer, the same law called for an end to consumer choice (“Direct Access”).</w:t>
      </w:r>
    </w:p>
    <w:p>
      <w:pPr>
        <w:pStyle w:val="Normal"/>
        <w:numPr>
          <w:ilvl w:val="0"/>
          <w:numId w:val="2"/>
        </w:numPr>
        <w:rPr>
          <w:sz w:val="20"/>
        </w:rPr>
      </w:pPr>
      <w:r>
        <w:rPr>
          <w:sz w:val="20"/>
        </w:rPr>
        <w:t>California should rescind that law (“AB1X”) and reinstate the right of all consumers and businesses to choose their energy service provider.</w:t>
      </w:r>
    </w:p>
    <w:p>
      <w:pPr>
        <w:pStyle w:val="Normal"/>
        <w:numPr>
          <w:ilvl w:val="0"/>
          <w:numId w:val="2"/>
        </w:numPr>
        <w:rPr>
          <w:sz w:val="20"/>
        </w:rPr>
      </w:pPr>
      <w:r>
        <w:rPr>
          <w:sz w:val="20"/>
        </w:rPr>
        <w:t xml:space="preserve">In addition, California should put in place in the electricity industry the successful market structure established in the natural gas industry 10 years ago. </w:t>
      </w:r>
    </w:p>
    <w:p>
      <w:pPr>
        <w:pStyle w:val="Normal"/>
        <w:numPr>
          <w:ilvl w:val="0"/>
          <w:numId w:val="2"/>
        </w:numPr>
        <w:rPr>
          <w:sz w:val="20"/>
        </w:rPr>
      </w:pPr>
      <w:r>
        <w:rPr>
          <w:sz w:val="20"/>
        </w:rPr>
        <w:t>That model has been tried and tested, customers understand it very well, and it works.  In addition, it has brought significant cost savings and other benefits to customers.</w:t>
      </w:r>
    </w:p>
    <w:p>
      <w:pPr>
        <w:pStyle w:val="Normal"/>
        <w:numPr>
          <w:ilvl w:val="0"/>
          <w:numId w:val="2"/>
        </w:numPr>
        <w:rPr>
          <w:sz w:val="20"/>
        </w:rPr>
      </w:pPr>
      <w:r>
        <w:rPr>
          <w:sz w:val="20"/>
        </w:rPr>
        <w:t>In the gas industry, large customers (referred to as “noncore” customers) no longer buy their gas from the utility (or from the State).</w:t>
      </w:r>
    </w:p>
    <w:p>
      <w:pPr>
        <w:pStyle w:val="Normal"/>
        <w:numPr>
          <w:ilvl w:val="0"/>
          <w:numId w:val="2"/>
        </w:numPr>
        <w:rPr>
          <w:sz w:val="20"/>
        </w:rPr>
      </w:pPr>
      <w:r>
        <w:rPr>
          <w:sz w:val="20"/>
        </w:rPr>
        <w:t>Instead, they are required to buy their gas in the market place, in the same way that they procure all other inputs for their business.</w:t>
      </w:r>
    </w:p>
    <w:p>
      <w:pPr>
        <w:pStyle w:val="Normal"/>
        <w:numPr>
          <w:ilvl w:val="0"/>
          <w:numId w:val="2"/>
        </w:numPr>
        <w:rPr>
          <w:sz w:val="20"/>
        </w:rPr>
      </w:pPr>
      <w:r>
        <w:rPr>
          <w:sz w:val="20"/>
        </w:rPr>
        <w:t>However, because the electricity market in California is unstable, California should wait 18-24 months before implementing the “noncore” market structure in the electric industry.</w:t>
      </w:r>
    </w:p>
    <w:p>
      <w:pPr>
        <w:pStyle w:val="Normal"/>
        <w:numPr>
          <w:ilvl w:val="0"/>
          <w:numId w:val="2"/>
        </w:numPr>
        <w:rPr>
          <w:sz w:val="20"/>
        </w:rPr>
      </w:pPr>
      <w:r>
        <w:rPr>
          <w:sz w:val="20"/>
        </w:rPr>
        <w:t>By that time, new power plants will be on line and the price of power in California will have dropped significantly.</w:t>
      </w:r>
    </w:p>
    <w:p>
      <w:pPr>
        <w:pStyle w:val="Normal"/>
        <w:rPr>
          <w:sz w:val="20"/>
        </w:rPr>
      </w:pPr>
      <w:r>
        <w:rPr>
          <w:sz w:val="20"/>
        </w:rPr>
      </w:r>
    </w:p>
    <w:p>
      <w:pPr>
        <w:pStyle w:val="Heading2"/>
        <w:ind w:hanging="0" w:start="0"/>
        <w:rPr/>
      </w:pPr>
      <w:r>
        <w:rPr/>
        <w:t>Response from those against giving choice to customers</w:t>
      </w:r>
    </w:p>
    <w:p>
      <w:pPr>
        <w:pStyle w:val="Normal"/>
        <w:numPr>
          <w:ilvl w:val="0"/>
          <w:numId w:val="2"/>
        </w:numPr>
        <w:rPr>
          <w:sz w:val="20"/>
        </w:rPr>
      </w:pPr>
      <w:r>
        <w:rPr>
          <w:sz w:val="20"/>
        </w:rPr>
        <w:t>Large customers want choice so they can escape the costs of the contracts that the State has bought on their behalf, sticking small, residential customers with the bill.  That’s unfair.</w:t>
      </w:r>
    </w:p>
    <w:p>
      <w:pPr>
        <w:pStyle w:val="Normal"/>
        <w:rPr>
          <w:sz w:val="20"/>
        </w:rPr>
      </w:pPr>
      <w:r>
        <w:rPr>
          <w:sz w:val="20"/>
        </w:rPr>
      </w:r>
    </w:p>
    <w:p>
      <w:pPr>
        <w:pStyle w:val="Heading2"/>
        <w:ind w:hanging="0" w:start="0"/>
        <w:rPr/>
      </w:pPr>
      <w:r>
        <w:rPr/>
        <w:t>Response</w:t>
      </w:r>
    </w:p>
    <w:p>
      <w:pPr>
        <w:pStyle w:val="Normal"/>
        <w:numPr>
          <w:ilvl w:val="0"/>
          <w:numId w:val="2"/>
        </w:numPr>
        <w:rPr>
          <w:sz w:val="20"/>
        </w:rPr>
      </w:pPr>
      <w:r>
        <w:rPr>
          <w:sz w:val="20"/>
        </w:rPr>
        <w:t xml:space="preserve">The argument is a red herring.  </w:t>
      </w:r>
    </w:p>
    <w:p>
      <w:pPr>
        <w:pStyle w:val="Normal"/>
        <w:numPr>
          <w:ilvl w:val="0"/>
          <w:numId w:val="2"/>
        </w:numPr>
        <w:rPr>
          <w:sz w:val="20"/>
        </w:rPr>
      </w:pPr>
      <w:r>
        <w:rPr>
          <w:sz w:val="20"/>
        </w:rPr>
        <w:t>First, by sending large customers to the market for their energy needs, the State will be relieved of the financial risks and burdens of purchasing on their behalf—again, a role for which the State has no expertise.</w:t>
      </w:r>
    </w:p>
    <w:p>
      <w:pPr>
        <w:pStyle w:val="Normal"/>
        <w:numPr>
          <w:ilvl w:val="0"/>
          <w:numId w:val="2"/>
        </w:numPr>
        <w:rPr>
          <w:sz w:val="20"/>
        </w:rPr>
      </w:pPr>
      <w:r>
        <w:rPr>
          <w:sz w:val="20"/>
        </w:rPr>
        <w:t>Second, rates can be set in such a way that all customers contribute in some way to the costs that the State has incurred to buy the power. And there are a variety of ways to do it.</w:t>
      </w:r>
    </w:p>
    <w:p>
      <w:pPr>
        <w:pStyle w:val="Normal"/>
        <w:numPr>
          <w:ilvl w:val="0"/>
          <w:numId w:val="2"/>
        </w:numPr>
        <w:rPr>
          <w:sz w:val="20"/>
        </w:rPr>
      </w:pPr>
      <w:r>
        <w:rPr>
          <w:sz w:val="20"/>
        </w:rPr>
        <w:t>For example, perhaps large customers could agree to accept some portion of the costs of the contracts in return for the right to purchase their supplies in the market.</w:t>
      </w:r>
    </w:p>
    <w:p>
      <w:pPr>
        <w:pStyle w:val="Normal"/>
        <w:numPr>
          <w:ilvl w:val="0"/>
          <w:numId w:val="2"/>
        </w:numPr>
        <w:rPr>
          <w:sz w:val="20"/>
        </w:rPr>
      </w:pPr>
      <w:r>
        <w:rPr>
          <w:sz w:val="20"/>
        </w:rPr>
        <w:t>However, as a matter of principle, it should be recognized that customers who don’t consume the power that the State bought shouldn’t be forced to pay for it.  Why pay for something that you are not using?</w:t>
      </w:r>
    </w:p>
    <w:p>
      <w:pPr>
        <w:pStyle w:val="Normal"/>
        <w:numPr>
          <w:ilvl w:val="0"/>
          <w:numId w:val="2"/>
        </w:numPr>
        <w:rPr>
          <w:sz w:val="20"/>
        </w:rPr>
      </w:pPr>
      <w:r>
        <w:rPr>
          <w:sz w:val="20"/>
        </w:rPr>
        <w:t>In short, the fact that the state got itself into the power business should not be used as an excuse to deprive customers of the right to choose their service provider.</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paragraph" w:styleId="Heading2">
    <w:name w:val="heading 2"/>
    <w:basedOn w:val="Normal"/>
    <w:next w:val="Normal"/>
    <w:qFormat/>
    <w:pPr>
      <w:keepNext w:val="true"/>
      <w:numPr>
        <w:ilvl w:val="1"/>
        <w:numId w:val="1"/>
      </w:numPr>
      <w:outlineLvl w:val="1"/>
    </w:pPr>
    <w:rPr>
      <w:i/>
      <w:iCs/>
      <w:sz w:val="20"/>
    </w:rPr>
  </w:style>
  <w:style w:type="paragraph" w:styleId="Heading3">
    <w:name w:val="heading 3"/>
    <w:basedOn w:val="Normal"/>
    <w:next w:val="Normal"/>
    <w:qFormat/>
    <w:pPr>
      <w:keepNext w:val="true"/>
      <w:numPr>
        <w:ilvl w:val="2"/>
        <w:numId w:val="1"/>
      </w:numPr>
      <w:outlineLvl w:val="2"/>
    </w:pPr>
    <w:rPr>
      <w:b/>
      <w:bCs/>
      <w:i/>
      <w:iCs/>
      <w:sz w:val="20"/>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i/>
      <w:iCs/>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i/>
      <w:i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2001-08-07T19:15:00Z</dcterms:created>
  <dc:creator>jdasovic</dc:creator>
  <dc:description/>
  <dc:language>en-CA</dc:language>
  <cp:lastModifiedBy>jdasovic</cp:lastModifiedBy>
  <cp:lastPrinted>2001-08-07T12:14:00Z</cp:lastPrinted>
  <dcterms:modified xsi:type="dcterms:W3CDTF">2001-08-07T19:49:00Z</dcterms:modified>
  <cp:revision>6</cp:revision>
  <dc:subject/>
  <dc:title>Comprehensive Solution for California</dc:title>
</cp:coreProperties>
</file>