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i/>
          <w:i/>
          <w:sz w:val="32"/>
        </w:rPr>
      </w:pPr>
      <w:r>
        <w:rPr>
          <w:i/>
          <w:sz w:val="32"/>
          <w:rPrChange w:id="0" w:author="Unknown Author" w:date="0-00-00T00:00:00Z"/>
        </w:rPr>
        <w:t>State Of California</w:t>
      </w:r>
    </w:p>
    <w:p>
      <w:pPr>
        <w:pStyle w:val="Normal"/>
        <w:jc w:val="center"/>
        <w:rPr>
          <w:b/>
          <w:i/>
          <w:i/>
          <w:sz w:val="32"/>
        </w:rPr>
      </w:pPr>
      <w:r>
        <w:rPr>
          <w:b/>
          <w:i/>
          <w:sz w:val="32"/>
        </w:rPr>
        <w:t>Request for Offers</w:t>
      </w:r>
    </w:p>
    <w:p>
      <w:pPr>
        <w:pStyle w:val="Normal"/>
        <w:jc w:val="center"/>
        <w:rPr>
          <w:b/>
          <w:i/>
          <w:i/>
          <w:sz w:val="32"/>
        </w:rPr>
      </w:pPr>
      <w:r>
        <w:rPr>
          <w:b/>
          <w:i/>
          <w:sz w:val="32"/>
        </w:rPr>
        <w:t>January __, 2001</w:t>
      </w:r>
    </w:p>
    <w:p>
      <w:pPr>
        <w:pStyle w:val="Normal"/>
        <w:jc w:val="center"/>
        <w:rPr>
          <w:b/>
          <w:i/>
          <w:i/>
          <w:sz w:val="32"/>
        </w:rPr>
      </w:pPr>
      <w:r>
        <w:rPr>
          <w:b/>
          <w:i/>
          <w:sz w:val="32"/>
        </w:rPr>
      </w:r>
    </w:p>
    <w:p>
      <w:pPr>
        <w:pStyle w:val="Normal"/>
        <w:rPr/>
      </w:pPr>
      <w:r>
        <w:rPr/>
        <w:t>The State of California (the “State”) hereby issues this request for offers (“RFO”) for electric energy and/or capacity products specified below.  The State requests prospective suppliers to submit offers on or before January __, 2001.</w:t>
      </w:r>
    </w:p>
    <w:p>
      <w:pPr>
        <w:pStyle w:val="Normal"/>
        <w:rPr/>
      </w:pPr>
      <w:r>
        <w:rPr/>
      </w:r>
    </w:p>
    <w:p>
      <w:pPr>
        <w:pStyle w:val="Normal"/>
        <w:rPr/>
      </w:pPr>
      <w:r>
        <w:rPr/>
        <w:t>The terms and quantities are indicated below:</w:t>
      </w:r>
    </w:p>
    <w:p>
      <w:pPr>
        <w:pStyle w:val="Normal"/>
        <w:rPr/>
      </w:pPr>
      <w:r>
        <w:rPr/>
      </w:r>
    </w:p>
    <w:p>
      <w:pPr>
        <w:pStyle w:val="Heading4"/>
        <w:ind w:hanging="0" w:start="0"/>
        <w:rPr>
          <w:u w:val="single"/>
        </w:rPr>
      </w:pPr>
      <w:r>
        <w:rPr>
          <w:u w:val="single"/>
        </w:rPr>
        <w:t>Summary Of Products To Be Offered</w:t>
      </w:r>
    </w:p>
    <w:p>
      <w:pPr>
        <w:pStyle w:val="Heading1"/>
        <w:ind w:hanging="0" w:start="0"/>
        <w:rPr>
          <w:u w:val="none"/>
        </w:rPr>
      </w:pPr>
      <w:r>
        <w:rPr>
          <w:u w:val="none"/>
        </w:rPr>
      </w:r>
    </w:p>
    <w:p>
      <w:pPr>
        <w:pStyle w:val="Normal"/>
        <w:rPr/>
      </w:pPr>
      <w:r>
        <w:rPr/>
        <w:t>Each of the following products may be offered for delivery to any specified point within each of the investor-owned utility service territories.  In addition, each offer may specify the extent to which the offer is either firm or not firm.</w:t>
      </w:r>
    </w:p>
    <w:p>
      <w:pPr>
        <w:pStyle w:val="Header"/>
        <w:tabs>
          <w:tab w:val="clear" w:pos="4320"/>
          <w:tab w:val="clear" w:pos="8640"/>
        </w:tabs>
        <w:ind w:start="720" w:end="0"/>
        <w:rPr/>
      </w:pPr>
      <w:r>
        <w:rPr/>
      </w:r>
    </w:p>
    <w:p>
      <w:pPr>
        <w:pStyle w:val="Normal"/>
        <w:rPr/>
      </w:pPr>
      <w:r>
        <w:rPr/>
        <w:t>The RFO seeks offers for each of the following four types of electric service:</w:t>
      </w:r>
    </w:p>
    <w:p>
      <w:pPr>
        <w:pStyle w:val="Normal"/>
        <w:rPr/>
      </w:pPr>
      <w:r>
        <w:rPr/>
      </w:r>
    </w:p>
    <w:p>
      <w:pPr>
        <w:pStyle w:val="Normal"/>
        <w:numPr>
          <w:ilvl w:val="0"/>
          <w:numId w:val="3"/>
        </w:numPr>
        <w:rPr/>
      </w:pPr>
      <w:r>
        <w:rPr>
          <w:b/>
          <w:u w:val="single"/>
        </w:rPr>
        <w:t>Product 1 – 7 x 24 Energy Standard Product</w:t>
      </w:r>
      <w:r>
        <w:rPr>
          <w:b/>
        </w:rPr>
        <w:t>:</w:t>
      </w:r>
      <w:r>
        <w:rPr/>
        <w:t xml:space="preserve">  This product provides firm energy at a fixed price on standard terms.  Offers shall provide minimum delivery periods of one month, one quarter, one year, or longer.</w:t>
      </w:r>
    </w:p>
    <w:p>
      <w:pPr>
        <w:pStyle w:val="Normal"/>
        <w:numPr>
          <w:ilvl w:val="0"/>
          <w:numId w:val="0"/>
        </w:numPr>
        <w:ind w:hanging="0" w:start="0"/>
        <w:rPr/>
      </w:pPr>
      <w:r>
        <w:rPr/>
      </w:r>
    </w:p>
    <w:p>
      <w:pPr>
        <w:pStyle w:val="Normal"/>
        <w:numPr>
          <w:ilvl w:val="0"/>
          <w:numId w:val="3"/>
        </w:numPr>
        <w:rPr/>
      </w:pPr>
      <w:r>
        <w:rPr>
          <w:b/>
          <w:u w:val="single"/>
        </w:rPr>
        <w:t>Product 2 – 6 x 16 Energy Standard Product</w:t>
      </w:r>
      <w:r>
        <w:rPr>
          <w:b/>
        </w:rPr>
        <w:t>:</w:t>
      </w:r>
      <w:r>
        <w:rPr/>
        <w:t xml:space="preserve">  This product provides firm energy at a fixed price on standard terms.  Offers shall provide minimum delivery periods of one month, one quarter, one year, or longer.</w:t>
      </w:r>
    </w:p>
    <w:p>
      <w:pPr>
        <w:pStyle w:val="Normal"/>
        <w:numPr>
          <w:ilvl w:val="0"/>
          <w:numId w:val="0"/>
        </w:numPr>
        <w:ind w:hanging="0" w:start="0"/>
        <w:rPr/>
      </w:pPr>
      <w:r>
        <w:rPr/>
      </w:r>
    </w:p>
    <w:p>
      <w:pPr>
        <w:pStyle w:val="Normal"/>
        <w:numPr>
          <w:ilvl w:val="0"/>
          <w:numId w:val="3"/>
        </w:numPr>
        <w:rPr/>
      </w:pPr>
      <w:r>
        <w:rPr>
          <w:b/>
          <w:u w:val="single"/>
        </w:rPr>
        <w:t>Product 3 – Capacity with Specified, Minimum Energy Component</w:t>
      </w:r>
      <w:r>
        <w:rPr>
          <w:b/>
        </w:rPr>
        <w:t xml:space="preserve">:  </w:t>
      </w:r>
      <w:r>
        <w:rPr/>
        <w:t>This product provides firm capacity and specified amounts of firm energy to be delivered on specified days.  Sellers can fully hedge the fuel supply.  Buyer can shape delivery within facility limits specified by seller;  such shape will be provided to seller on an hourly basis for each delivery day.  On an hourly basis, buyer can use the capacity in excess of the shaped amount.  Energy in excess of the specified amount will be priced to reflect the spot price of natural gas and the marginal cost of emission credits.   Offer shall provide minimum delivery periods of one month, one quarter, one year, or longer.</w:t>
      </w:r>
    </w:p>
    <w:p>
      <w:pPr>
        <w:pStyle w:val="Normal"/>
        <w:rPr>
          <w:b/>
          <w:u w:val="single"/>
        </w:rPr>
      </w:pPr>
      <w:r>
        <w:rPr>
          <w:b/>
          <w:u w:val="single"/>
        </w:rPr>
      </w:r>
    </w:p>
    <w:p>
      <w:pPr>
        <w:pStyle w:val="Normal"/>
        <w:numPr>
          <w:ilvl w:val="0"/>
          <w:numId w:val="3"/>
        </w:numPr>
        <w:rPr/>
      </w:pPr>
      <w:r>
        <w:rPr>
          <w:b/>
          <w:u w:val="single"/>
        </w:rPr>
        <w:t>Product 4 – Capacity, including Ancillary Services</w:t>
      </w:r>
      <w:r>
        <w:rPr>
          <w:b/>
        </w:rPr>
        <w:t>:</w:t>
      </w:r>
      <w:r>
        <w:rPr/>
        <w:t xml:space="preserve">  No minimum energy requirement is associated with this product, and all energy called is therefore priced to reflect the spot price of natural gas and the marginal cost of emissions credits, if applicable.  Capability of capacity to provide regulation and to meet requirements for spinning reserve, non-spinning reserve and replacement reserve are to be specified.  Offers shall provide minimum delivery periods of one month, one quarter, one year, or longer</w:t>
      </w:r>
    </w:p>
    <w:p>
      <w:pPr>
        <w:pStyle w:val="Header"/>
        <w:tabs>
          <w:tab w:val="clear" w:pos="4320"/>
          <w:tab w:val="clear" w:pos="8640"/>
        </w:tabs>
        <w:rPr/>
      </w:pPr>
      <w:r>
        <w:rPr/>
      </w:r>
    </w:p>
    <w:p>
      <w:pPr>
        <w:pStyle w:val="Normal"/>
        <w:rPr/>
      </w:pPr>
      <w:r>
        <w:rPr/>
        <w:t>[The RFO solicits separate cost information for NO</w:t>
      </w:r>
      <w:r>
        <w:rPr>
          <w:vertAlign w:val="subscript"/>
        </w:rPr>
        <w:t>x</w:t>
      </w:r>
      <w:r>
        <w:rPr/>
        <w:t xml:space="preserve"> credits.]  </w:t>
      </w:r>
    </w:p>
    <w:p>
      <w:pPr>
        <w:pStyle w:val="Header"/>
        <w:tabs>
          <w:tab w:val="clear" w:pos="4320"/>
          <w:tab w:val="clear" w:pos="8640"/>
        </w:tabs>
        <w:rPr/>
      </w:pPr>
      <w:r>
        <w:rPr/>
      </w:r>
    </w:p>
    <w:p>
      <w:pPr>
        <w:pStyle w:val="Normal"/>
        <w:rPr/>
      </w:pPr>
      <w:r>
        <w:rPr/>
        <w:t>The State will not consider offers for quantities less than 10 MW.  Bidder should specify its willingness to vary (either increase or decrease) the quantity offered in its bid.</w:t>
      </w:r>
    </w:p>
    <w:p>
      <w:pPr>
        <w:pStyle w:val="Normal"/>
        <w:rPr/>
      </w:pPr>
      <w:r>
        <w:rPr/>
      </w:r>
    </w:p>
    <w:p>
      <w:pPr>
        <w:pStyle w:val="Normal"/>
        <w:rPr/>
      </w:pPr>
      <w:r>
        <w:rPr/>
        <w:t>The Governor and the California Public Utilities Commission (“CPUC”) desire to bring new energy supply sources to California.  Accordingly, we request that you specify, on a voluntary basis, whether the source or sources of the supply you are offering in your bid(s) will result in a dedication of supply to California that might otherwise not be available.</w:t>
      </w:r>
    </w:p>
    <w:p>
      <w:pPr>
        <w:pStyle w:val="Header"/>
        <w:tabs>
          <w:tab w:val="clear" w:pos="4320"/>
          <w:tab w:val="clear" w:pos="8640"/>
        </w:tabs>
        <w:rPr/>
      </w:pPr>
      <w:r>
        <w:rPr/>
      </w:r>
    </w:p>
    <w:p>
      <w:pPr>
        <w:pStyle w:val="Heading1"/>
        <w:ind w:hanging="0" w:start="0"/>
        <w:rPr>
          <w:b/>
        </w:rPr>
      </w:pPr>
      <w:r>
        <w:rPr>
          <w:b/>
        </w:rPr>
        <w:t>Price</w:t>
      </w:r>
    </w:p>
    <w:p>
      <w:pPr>
        <w:pStyle w:val="Heading1"/>
        <w:ind w:hanging="0" w:start="0"/>
        <w:rPr>
          <w:b/>
          <w:u w:val="none"/>
        </w:rPr>
      </w:pPr>
      <w:r>
        <w:rPr>
          <w:b/>
          <w:u w:val="none"/>
        </w:rPr>
      </w:r>
    </w:p>
    <w:p>
      <w:pPr>
        <w:pStyle w:val="Normal"/>
        <w:rPr/>
      </w:pPr>
      <w:r>
        <w:rPr/>
        <w:t>Bidder shall specify the payment it proposes for electrical generating capacity in dollars per megawatt-hour (“MWh”).  Bidders may submit offers for any Product specified in this RFO for delivery at NP15, ZP26, or SP15.  Offers may differ on price, term, volume, and degree of firmness.  Using these bids, the State will attempt to meet the net shortfall position of Edison, PG&amp;E, and SDG&amp;E in the most economically attractive terms with a goal of achieving a weighted-average price of 5.5 ¢/kWh ($55/MWh).</w:t>
      </w:r>
    </w:p>
    <w:p>
      <w:pPr>
        <w:pStyle w:val="Normal"/>
        <w:rPr/>
      </w:pPr>
      <w:r>
        <w:rPr/>
      </w:r>
    </w:p>
    <w:p>
      <w:pPr>
        <w:pStyle w:val="Heading1"/>
        <w:ind w:hanging="0" w:start="0"/>
        <w:rPr>
          <w:b/>
        </w:rPr>
      </w:pPr>
      <w:r>
        <w:rPr>
          <w:b/>
        </w:rPr>
        <w:t>Delivery point</w:t>
      </w:r>
    </w:p>
    <w:p>
      <w:pPr>
        <w:pStyle w:val="Normal"/>
        <w:rPr>
          <w:b/>
        </w:rPr>
      </w:pPr>
      <w:r>
        <w:rPr>
          <w:b/>
        </w:rPr>
      </w:r>
    </w:p>
    <w:p>
      <w:pPr>
        <w:pStyle w:val="Normal"/>
        <w:rPr>
          <w:b/>
        </w:rPr>
      </w:pPr>
      <w:r>
        <w:rPr/>
        <w:t>Each of the products identified above may be offered for delivery to any specified point within the service territories of Edison, PG&amp;E, and SDG&amp;E and as more specifically provided below.  For delivery within the service territory of Edison, the State prefers to take delivery within the California Independent System Operator (“CAISO”) zone South of Path 15 (“SP15”) or ZP15, but will consider other points of delivery within or at a point of interconnection with the CAISO control area.</w:t>
      </w:r>
      <w:r>
        <w:rPr>
          <w:b/>
        </w:rPr>
        <w:t xml:space="preserve"> </w:t>
      </w:r>
      <w:r>
        <w:rPr/>
        <w:t>For delivery within the service territory of SDG&amp;E, the State prefers to take delivery within the CAISO zone South of Path 15 (“SP15”), but will consider other points of delivery within or at a point of interconnection with the CAISO control area. For delivery within the service territory of PG&amp;E, the State prefers to take delivery within the CAISO zone North of Path 15 (“NP15”) or ZP26, but will consider other points of delivery within or at a point of interconnection with the CAISO control area.  Bidder shall specify the point(s) of delivery as NP 15, ZP 26, or SP 15 for purposes of satisfying the needs identified in the ____ attached to this RFO.</w:t>
      </w:r>
    </w:p>
    <w:p>
      <w:pPr>
        <w:pStyle w:val="Normal"/>
        <w:rPr>
          <w:b/>
        </w:rPr>
      </w:pPr>
      <w:r>
        <w:rPr>
          <w:b/>
        </w:rPr>
      </w:r>
    </w:p>
    <w:p>
      <w:pPr>
        <w:pStyle w:val="Heading3"/>
        <w:ind w:hanging="0" w:start="0"/>
        <w:rPr/>
      </w:pPr>
      <w:r>
        <w:rPr/>
        <w:t xml:space="preserve">Term </w:t>
      </w:r>
    </w:p>
    <w:p>
      <w:pPr>
        <w:pStyle w:val="Heading3"/>
        <w:ind w:hanging="0" w:start="0"/>
        <w:rPr>
          <w:b w:val="false"/>
          <w:u w:val="none"/>
        </w:rPr>
      </w:pPr>
      <w:r>
        <w:rPr>
          <w:b w:val="false"/>
          <w:u w:val="none"/>
        </w:rPr>
      </w:r>
    </w:p>
    <w:p>
      <w:pPr>
        <w:pStyle w:val="Heading3"/>
        <w:ind w:hanging="0" w:start="0"/>
        <w:rPr>
          <w:b w:val="false"/>
          <w:u w:val="none"/>
        </w:rPr>
      </w:pPr>
      <w:r>
        <w:rPr>
          <w:b w:val="false"/>
          <w:u w:val="none"/>
        </w:rPr>
        <w:t>Seller may propose any or all of the following as the date or dates on which Seller agrees to commence deliveries to the State:</w:t>
      </w:r>
    </w:p>
    <w:p>
      <w:pPr>
        <w:pStyle w:val="Heading3"/>
        <w:ind w:hanging="0" w:start="0"/>
        <w:rPr>
          <w:b w:val="false"/>
          <w:u w:val="none"/>
        </w:rPr>
      </w:pPr>
      <w:r>
        <w:rPr>
          <w:b w:val="false"/>
          <w:u w:val="none"/>
        </w:rPr>
      </w:r>
    </w:p>
    <w:p>
      <w:pPr>
        <w:pStyle w:val="Heading3"/>
        <w:ind w:hanging="0" w:start="720" w:end="0"/>
        <w:rPr>
          <w:b w:val="false"/>
          <w:u w:val="none"/>
        </w:rPr>
      </w:pPr>
      <w:r>
        <w:rPr>
          <w:b w:val="false"/>
          <w:u w:val="none"/>
        </w:rPr>
        <w:t>February 1, 2001</w:t>
      </w:r>
    </w:p>
    <w:p>
      <w:pPr>
        <w:pStyle w:val="Heading3"/>
        <w:ind w:hanging="0" w:start="720" w:end="0"/>
        <w:rPr>
          <w:b w:val="false"/>
          <w:u w:val="none"/>
        </w:rPr>
      </w:pPr>
      <w:r>
        <w:rPr>
          <w:b w:val="false"/>
          <w:u w:val="none"/>
        </w:rPr>
        <w:t>April 1, 2001</w:t>
      </w:r>
    </w:p>
    <w:p>
      <w:pPr>
        <w:pStyle w:val="Heading3"/>
        <w:ind w:hanging="0" w:start="720" w:end="0"/>
        <w:rPr>
          <w:b w:val="false"/>
          <w:u w:val="none"/>
        </w:rPr>
      </w:pPr>
      <w:r>
        <w:rPr>
          <w:b w:val="false"/>
          <w:u w:val="none"/>
        </w:rPr>
        <w:t>July 1, 2001</w:t>
      </w:r>
    </w:p>
    <w:p>
      <w:pPr>
        <w:pStyle w:val="Normal"/>
        <w:rPr>
          <w:b/>
          <w:u w:val="none"/>
        </w:rPr>
      </w:pPr>
      <w:r>
        <w:rPr>
          <w:b/>
          <w:u w:val="none"/>
        </w:rPr>
      </w:r>
    </w:p>
    <w:p>
      <w:pPr>
        <w:pStyle w:val="Normal"/>
        <w:rPr/>
      </w:pPr>
      <w:r>
        <w:rPr/>
        <w:t>The term of any agreement arising out of this RFO shall not exceed __ 15 years. [There is no required end date for deliveries.]</w:t>
      </w:r>
    </w:p>
    <w:p>
      <w:pPr>
        <w:pStyle w:val="Normal"/>
        <w:rPr/>
      </w:pPr>
      <w:r>
        <w:rPr/>
      </w:r>
    </w:p>
    <w:p>
      <w:pPr>
        <w:pStyle w:val="Heading3"/>
        <w:ind w:hanging="0" w:start="0"/>
        <w:rPr/>
      </w:pPr>
      <w:r>
        <w:rPr/>
        <w:t>Corporate Guarantee</w:t>
      </w:r>
    </w:p>
    <w:p>
      <w:pPr>
        <w:pStyle w:val="Normal"/>
        <w:rPr/>
      </w:pPr>
      <w:r>
        <w:rPr/>
      </w:r>
    </w:p>
    <w:p>
      <w:pPr>
        <w:pStyle w:val="Normal"/>
        <w:rPr/>
      </w:pPr>
      <w:r>
        <w:rPr/>
        <w:t>Seller shall execute the State’s Standard Guarantee form forwarded under separate cover.  Seller shall submit, as soon as possible, but no later than 6 A.M. Pacific Time on January __, 2001 any requested revisions or additions to the State’s Standard Guarantee form.  The State shall consider and accept reasonable revisions or additions.</w:t>
      </w:r>
    </w:p>
    <w:p>
      <w:pPr>
        <w:pStyle w:val="Normal"/>
        <w:rPr/>
      </w:pPr>
      <w:r>
        <w:rPr/>
      </w:r>
    </w:p>
    <w:p>
      <w:pPr>
        <w:pStyle w:val="Normal"/>
        <w:rPr/>
      </w:pPr>
      <w:r>
        <w:rPr/>
        <w:t xml:space="preserve">Seller will be required to complete and return a signed Standard Guarantee form to the State, upon acceptance of Seller’s offer by the State. </w:t>
      </w:r>
    </w:p>
    <w:p>
      <w:pPr>
        <w:pStyle w:val="Normal"/>
        <w:rPr/>
      </w:pPr>
      <w:r>
        <w:rPr/>
      </w:r>
    </w:p>
    <w:p>
      <w:pPr>
        <w:pStyle w:val="Heading3"/>
        <w:ind w:hanging="0" w:start="0"/>
        <w:rPr/>
      </w:pPr>
      <w:r>
        <w:rPr/>
        <w:t>Contract and Confirmation</w:t>
      </w:r>
    </w:p>
    <w:p>
      <w:pPr>
        <w:pStyle w:val="Normal"/>
        <w:rPr/>
      </w:pPr>
      <w:r>
        <w:rPr/>
        <w:t>A standard Confirmation and Cover Page for the EEI Agreement are forwarded under separate cover as Exhibit A and Attachment 2 respectively. Seller shall submit, as soon as possible but no later than 6 A.M Pacific Time on January __, 2001 respectively, any requested revisions or additions to the State’s standard Confirmation and Cover Page.  The State shall be under no obligation to accept any revisions or additions.</w:t>
      </w:r>
    </w:p>
    <w:p>
      <w:pPr>
        <w:pStyle w:val="Normal"/>
        <w:rPr/>
      </w:pPr>
      <w:r>
        <w:rPr/>
      </w:r>
    </w:p>
    <w:p>
      <w:pPr>
        <w:pStyle w:val="Normal"/>
        <w:rPr/>
      </w:pPr>
      <w:r>
        <w:rPr/>
        <w:t xml:space="preserve">Seller will be required to complete and return the signed Confirmation form to the State, upon acceptance of Seller’s offer by the State. </w:t>
      </w:r>
    </w:p>
    <w:p>
      <w:pPr>
        <w:pStyle w:val="Normal"/>
        <w:rPr/>
      </w:pPr>
      <w:r>
        <w:rPr/>
      </w:r>
    </w:p>
    <w:p>
      <w:pPr>
        <w:pStyle w:val="Heading2"/>
        <w:ind w:hanging="0" w:start="0"/>
        <w:rPr>
          <w:sz w:val="24"/>
        </w:rPr>
      </w:pPr>
      <w:r>
        <w:rPr>
          <w:sz w:val="24"/>
        </w:rPr>
        <w:t>Offer Submission</w:t>
      </w:r>
    </w:p>
    <w:p>
      <w:pPr>
        <w:pStyle w:val="Normal"/>
        <w:rPr>
          <w:b/>
        </w:rPr>
      </w:pPr>
      <w:r>
        <w:rPr>
          <w:b/>
        </w:rPr>
        <w:t>Offers should be sent electronically to the attention of __________ at:</w:t>
      </w:r>
    </w:p>
    <w:p>
      <w:pPr>
        <w:pStyle w:val="Normal"/>
        <w:rPr/>
      </w:pPr>
      <w:r>
        <w:rPr/>
      </w:r>
    </w:p>
    <w:p>
      <w:pPr>
        <w:pStyle w:val="Header"/>
        <w:tabs>
          <w:tab w:val="clear" w:pos="4320"/>
          <w:tab w:val="clear" w:pos="8640"/>
        </w:tabs>
        <w:rPr>
          <w:b/>
        </w:rPr>
      </w:pPr>
      <w:r>
        <w:rPr>
          <w:b/>
        </w:rPr>
        <w:t>E-mail:</w:t>
        <w:tab/>
        <w:t>______________</w:t>
      </w:r>
    </w:p>
    <w:p>
      <w:pPr>
        <w:pStyle w:val="Header"/>
        <w:tabs>
          <w:tab w:val="clear" w:pos="4320"/>
          <w:tab w:val="clear" w:pos="8640"/>
        </w:tabs>
        <w:rPr>
          <w:b/>
        </w:rPr>
      </w:pPr>
      <w:r>
        <w:rPr>
          <w:b/>
        </w:rPr>
      </w:r>
    </w:p>
    <w:p>
      <w:pPr>
        <w:pStyle w:val="Normal"/>
        <w:rPr/>
      </w:pPr>
      <w:r>
        <w:rPr/>
        <w:t>Phone</w:t>
        <w:tab/>
        <w:tab/>
      </w:r>
      <w:r>
        <w:rPr>
          <w:b/>
        </w:rPr>
        <w:t>______________</w:t>
      </w:r>
    </w:p>
    <w:p>
      <w:pPr>
        <w:pStyle w:val="Normal"/>
        <w:rPr/>
      </w:pPr>
      <w:r>
        <w:rPr/>
      </w:r>
    </w:p>
    <w:p>
      <w:pPr>
        <w:pStyle w:val="Normal"/>
        <w:rPr/>
      </w:pPr>
      <w:r>
        <w:rPr/>
        <w:t>Address:</w:t>
        <w:tab/>
      </w:r>
      <w:r>
        <w:rPr>
          <w:b/>
        </w:rPr>
        <w:t>______________</w:t>
      </w:r>
    </w:p>
    <w:p>
      <w:pPr>
        <w:pStyle w:val="Normal"/>
        <w:rPr/>
      </w:pPr>
      <w:r>
        <w:rPr/>
        <w:tab/>
        <w:tab/>
      </w:r>
      <w:r>
        <w:rPr>
          <w:b/>
        </w:rPr>
        <w:t>______________</w:t>
      </w:r>
    </w:p>
    <w:p>
      <w:pPr>
        <w:pStyle w:val="Normal"/>
        <w:rPr/>
      </w:pPr>
      <w:r>
        <w:rPr/>
        <w:tab/>
        <w:tab/>
      </w:r>
      <w:r>
        <w:rPr>
          <w:b/>
        </w:rPr>
        <w:t>______________</w:t>
      </w:r>
    </w:p>
    <w:p>
      <w:pPr>
        <w:pStyle w:val="Normal"/>
        <w:rPr/>
      </w:pPr>
      <w:r>
        <w:rPr/>
      </w:r>
    </w:p>
    <w:p>
      <w:pPr>
        <w:pStyle w:val="Normal"/>
        <w:rPr/>
      </w:pPr>
      <w:r>
        <w:rPr/>
        <w:t xml:space="preserve">Additionally, Bidders should provide an electronic copy of Attachment A to this RFO to </w:t>
      </w:r>
      <w:r>
        <w:rPr>
          <w:b/>
        </w:rPr>
        <w:t>______________</w:t>
      </w:r>
      <w:r>
        <w:rPr/>
        <w:t xml:space="preserve"> at </w:t>
      </w:r>
      <w:r>
        <w:rPr>
          <w:b/>
        </w:rPr>
        <w:t>______________</w:t>
      </w:r>
      <w:r>
        <w:rPr/>
        <w:t xml:space="preserve"> @___.___ </w:t>
      </w:r>
    </w:p>
    <w:p>
      <w:pPr>
        <w:pStyle w:val="Normal"/>
        <w:rPr/>
      </w:pPr>
      <w:r>
        <w:rPr/>
      </w:r>
    </w:p>
    <w:p>
      <w:pPr>
        <w:pStyle w:val="Heading3"/>
        <w:ind w:hanging="0" w:start="0"/>
        <w:rPr/>
      </w:pPr>
      <w:r>
        <w:rPr/>
        <w:t>Offer Submission Schedule</w:t>
      </w:r>
    </w:p>
    <w:p>
      <w:pPr>
        <w:pStyle w:val="Normal"/>
        <w:rPr/>
      </w:pPr>
      <w:r>
        <w:rPr/>
      </w:r>
    </w:p>
    <w:p>
      <w:pPr>
        <w:pStyle w:val="Normal"/>
        <w:numPr>
          <w:ilvl w:val="0"/>
          <w:numId w:val="2"/>
        </w:numPr>
        <w:tabs>
          <w:tab w:val="clear" w:pos="720"/>
          <w:tab w:val="left" w:pos="1080" w:leader="none"/>
        </w:tabs>
        <w:ind w:hanging="360" w:start="1080" w:end="0"/>
        <w:rPr/>
      </w:pPr>
      <w:r>
        <w:rPr/>
        <w:t xml:space="preserve">Offers must be received by the State in writing </w:t>
      </w:r>
      <w:r>
        <w:rPr>
          <w:b/>
          <w:u w:val="single"/>
        </w:rPr>
        <w:t>no later than 8 A.M., Pacific Time on January __, 2001.</w:t>
      </w:r>
      <w:r>
        <w:rPr/>
        <w:t xml:space="preserve">  </w:t>
      </w:r>
    </w:p>
    <w:p>
      <w:pPr>
        <w:pStyle w:val="Normal"/>
        <w:tabs>
          <w:tab w:val="clear" w:pos="720"/>
          <w:tab w:val="left" w:pos="1080" w:leader="none"/>
        </w:tabs>
        <w:ind w:start="1080" w:end="0"/>
        <w:rPr/>
      </w:pPr>
      <w:r>
        <w:rPr/>
      </w:r>
    </w:p>
    <w:p>
      <w:pPr>
        <w:pStyle w:val="Normal"/>
        <w:rPr/>
      </w:pPr>
      <w:r>
        <w:rPr/>
      </w:r>
    </w:p>
    <w:p>
      <w:pPr>
        <w:pStyle w:val="Normal"/>
        <w:rPr/>
      </w:pPr>
      <w:r>
        <w:rPr/>
        <w:t xml:space="preserve">The schedule above is subject to change and, as more fully set forth below, </w:t>
      </w:r>
      <w:r>
        <w:rPr>
          <w:b/>
        </w:rPr>
        <w:t>the State makes no representation by this schedule or RFO that it will enter into any agreements as a result of this process.</w:t>
      </w:r>
    </w:p>
    <w:p>
      <w:pPr>
        <w:pStyle w:val="Header"/>
        <w:tabs>
          <w:tab w:val="clear" w:pos="4320"/>
          <w:tab w:val="clear" w:pos="8640"/>
        </w:tabs>
        <w:rPr>
          <w:b/>
        </w:rPr>
      </w:pPr>
      <w:r>
        <w:rPr>
          <w:b/>
        </w:rPr>
      </w:r>
    </w:p>
    <w:p>
      <w:pPr>
        <w:pStyle w:val="BodyText"/>
        <w:rPr>
          <w:sz w:val="24"/>
        </w:rPr>
      </w:pPr>
      <w:r>
        <w:rPr>
          <w:sz w:val="24"/>
        </w:rPr>
        <w:t>Until offers are accepted and a confirmation is executed, Bidders agree that the content of their offer(s) shall remain confidential and that neither the Bidder nor the State will disclose the content of that proposal without the consent of the other; provided, however, notwithstanding the forgoing, by submitting an offer, bidders agree that the State may submit the bidder’s offer(s) to the CPUC, the Federal Energy Regulatory Commission (“FERC”), the Power Exchange (“PX”) or both provided that the State requests confidential treatment for such submission.  If either Party is compelled by state law, court order, the CPUC, the FERC, or other regulatory agency or regulatory requirement or other legal process, binding on such Party, to disclose such confidential information, such Party shall provide advance written notice to the other Party and, at the expense of the other Party, shall cooperate fully in allowing such Party to obtain a protective order or other means of protecting its interests.</w:t>
      </w:r>
    </w:p>
    <w:p>
      <w:pPr>
        <w:pStyle w:val="BodyText"/>
        <w:rPr>
          <w:sz w:val="24"/>
        </w:rPr>
      </w:pPr>
      <w:r>
        <w:rPr>
          <w:sz w:val="24"/>
        </w:rPr>
      </w:r>
    </w:p>
    <w:p>
      <w:pPr>
        <w:pStyle w:val="Normal"/>
        <w:rPr/>
      </w:pPr>
      <w:r>
        <w:rPr/>
        <w:t>By submitting an offer in response to this RFO, the Bidder acknowledges and agrees that:  (1) its offer shall remain irrevocable until _____ A.M./P.M. Pacific Time on January __, 2001 and shall remain open after that time unless and until revoked by Bidder in writing to the State; (2) the State may accept the offer by providing Bidder notice of acceptance in writing delivered via facsimile, or electronic mail, provided, however, the State’s acceptance is subject to: (a) the Bidder’s and the State’s execution of the State’s Standard Guarantee, an EEI Master Power Purchase &amp; Sale Agreement (the “EEI Agreement”), Cover Sheet, and a Confirmation respecting the offer(s), and (b) the receipt by the Bidder or the State, as the case may be, of any and all necessary regulatory approvals; (3) Bidder hereby confirms that should this offer be acceptable to the State, and the State delivers timely notice of such acceptance to Bidder, Bidder will be obligated to promptly execute and deliver the State’s Standard Guarantee, the EEI Agreement, Cover Sheet, and Confirmation agreement; (4) the State has, or will have, no obligations unless and until Bidder executes the State’s Standard Guarantee, the EEI Agreement, Cover Sheet, and Confirmation agreement and both the EEI Agreement, Cover Sheet and Confirmation agreement are executed and delivered by the State to Bidder; (5) as of the date of its offer and throughout the period during which the offer remains open, all information, statements, representations, and warranties made or provided by Bidder in its offer are accurate and true to the best of Bidder’s knowledge; (6) the State will rely on the terms of this offer in considering the Bidder’s offer; and (7) Bidder has or will obtain the transmission necessary to effect delivery of the power set forth in its offer.</w:t>
      </w:r>
    </w:p>
    <w:p>
      <w:pPr>
        <w:pStyle w:val="Normal"/>
        <w:rPr/>
      </w:pPr>
      <w:r>
        <w:rPr/>
      </w:r>
    </w:p>
    <w:p>
      <w:pPr>
        <w:pStyle w:val="Normal"/>
        <w:rPr/>
      </w:pPr>
      <w:r>
        <w:rPr/>
        <w:t xml:space="preserve">The EEI Agreement will be used as the underlying contract.  Consideration of the proposals and consummation of the transaction are subject to the Bidder either (1) being an investment grade entity, or (2) providing satisfactory credit support (e.g., Letters of Credit, corporate performance guarantees).  If, as determined in the State’s sole discretion, the State receives more bids than required for each product at equivalent prices, the State will apply a non-discriminatory tiebreaker that may include a lottery or pro rata allocation or such other mechanism as the State, in its sole discretion, deems appropriate.  Bidder should indicate in its offer whether it would reject a pro-rata reduction of its original offer.  The State will interpret a Bidder’s failure to indicate their willingness to accept a pro rata reduction as an indication that the bidder </w:t>
      </w:r>
      <w:r>
        <w:rPr>
          <w:u w:val="single"/>
        </w:rPr>
        <w:t>will</w:t>
      </w:r>
      <w:r>
        <w:rPr/>
        <w:t xml:space="preserve"> accept a pro rata reduction.</w:t>
      </w:r>
    </w:p>
    <w:p>
      <w:pPr>
        <w:pStyle w:val="Normal"/>
        <w:rPr/>
      </w:pPr>
      <w:r>
        <w:rPr/>
      </w:r>
    </w:p>
    <w:p>
      <w:pPr>
        <w:pStyle w:val="BodyText2"/>
        <w:rPr/>
      </w:pPr>
      <w:r>
        <w:rPr/>
        <w:t xml:space="preserve">THE STATE RESERVES THE RIGHT AT ANY TIME, IN ITS SOLE DISCRETION, TO ABANDON THIS BIDDING PROCESS, TO CHANGE THE BASIS FOR EVALUATION OF BIDS, TO TERMINATE FURTHER PARTICIPATION IN THIS PROCESS BY ANY PARTY, TO ACCEPT ANY PROPOSAL OR TO ENTER INTO ANY DEFINITIVE AGREEMENT, TO EVALUATE THE QUALIFICATIONS OF ANY BIDDER OR THE </w:t>
      </w:r>
      <w:bookmarkStart w:id="0" w:name="OP3_01sOmkiY"/>
      <w:bookmarkStart w:id="1" w:name="S67_tendons_tenons_tenpins_teens_terns"/>
      <w:bookmarkEnd w:id="1"/>
      <w:r>
        <w:rPr/>
        <w:t xml:space="preserve">TERMS </w:t>
      </w:r>
      <w:bookmarkEnd w:id="0"/>
      <w:r>
        <w:rPr/>
        <w:t xml:space="preserve">AND CONDITIONS OF ANY PROPOSAL, AND TO REJECT ANY OR ALL PROPOSALS OR BIDS, ALL WITHOUT NOTICE AND WITHOUT ASSIGNING ANY REASONS AND </w:t>
      </w:r>
      <w:bookmarkStart w:id="2" w:name="OP3_L4P8lmh0"/>
      <w:bookmarkStart w:id="3" w:name="S68_without_Without"/>
      <w:bookmarkEnd w:id="3"/>
      <w:r>
        <w:rPr/>
        <w:t xml:space="preserve">WITHOUT </w:t>
      </w:r>
      <w:bookmarkStart w:id="4" w:name="OP3_e3WXnmj0"/>
      <w:bookmarkStart w:id="5" w:name="S69_Habitat_habitat"/>
      <w:bookmarkEnd w:id="2"/>
      <w:bookmarkEnd w:id="5"/>
      <w:r>
        <w:rPr/>
        <w:t>LIABILITY</w:t>
      </w:r>
      <w:bookmarkStart w:id="6" w:name="OP3_AcFVwnq0"/>
      <w:bookmarkStart w:id="7" w:name="S71_a"/>
      <w:bookmarkStart w:id="8" w:name="S70_a"/>
      <w:bookmarkEnd w:id="4"/>
      <w:bookmarkEnd w:id="7"/>
      <w:bookmarkEnd w:id="8"/>
      <w:r>
        <w:rPr/>
        <w:t xml:space="preserve"> OF THE STATE </w:t>
      </w:r>
      <w:bookmarkEnd w:id="6"/>
      <w:r>
        <w:rPr/>
        <w:t xml:space="preserve">OR ANY OF </w:t>
      </w:r>
      <w:bookmarkStart w:id="9" w:name="OP3_l1y3cng1"/>
      <w:bookmarkStart w:id="10" w:name="S72"/>
      <w:bookmarkEnd w:id="10"/>
      <w:r>
        <w:rPr/>
        <w:t>THEIR SUBSIDIARIES, AFFILIATES OR REPRESENTATIVES TO ANY BIDDER</w:t>
      </w:r>
      <w:bookmarkStart w:id="11" w:name="OP3_w3Zldoc2"/>
      <w:bookmarkStart w:id="12" w:name="S73"/>
      <w:bookmarkEnd w:id="9"/>
      <w:bookmarkEnd w:id="12"/>
      <w:r>
        <w:rPr/>
        <w:t xml:space="preserve">. THE STATE SHALL </w:t>
      </w:r>
      <w:bookmarkEnd w:id="11"/>
      <w:r>
        <w:rPr/>
        <w:t>HAVE NO OBLIGATION TO CONSIDER ANY PROPOSAL</w:t>
      </w:r>
      <w:bookmarkStart w:id="13" w:name="OP3_jivcdqc3"/>
      <w:bookmarkStart w:id="14" w:name="S74"/>
      <w:bookmarkEnd w:id="14"/>
      <w:r>
        <w:rPr/>
        <w:t xml:space="preserve">. THE STATE WILL </w:t>
      </w:r>
      <w:bookmarkEnd w:id="13"/>
      <w:r>
        <w:rPr/>
        <w:t>NOT REIMBURSE BIDDERS FOR THEIR EXPENSES UNDER ANY CIRCUMSTANCES, REGARDLESS OF WHETHER THE BIDDING PROCESS PROCEEDS TO A SUCCESSFUL CONCLUSION OR IS ABANDONED.</w:t>
      </w:r>
    </w:p>
    <w:p>
      <w:pPr>
        <w:pStyle w:val="BodyText2"/>
        <w:rPr/>
      </w:pPr>
      <w:r>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State of California Electric RFO</w:t>
    </w:r>
  </w:p>
  <w:p>
    <w:pPr>
      <w:pStyle w:val="Header"/>
      <w:rPr>
        <w:b/>
      </w:rPr>
    </w:pPr>
    <w:r>
      <w:rPr>
        <w:b/>
      </w:rPr>
      <w:t>January __, 2001</w:t>
    </w:r>
  </w:p>
  <w:p>
    <w:pPr>
      <w:pStyle w:val="Header"/>
      <w:rPr>
        <w:b/>
      </w:rPr>
    </w:pPr>
    <w:r>
      <w:rPr>
        <w:b/>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1">
    <w:name w:val="WW8Num4z1"/>
    <w:qFormat/>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28"/>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sz w:val="22"/>
    </w:rPr>
  </w:style>
  <w:style w:type="paragraph" w:styleId="BodyTextIndent">
    <w:name w:val="Body Text Indent"/>
    <w:basedOn w:val="Normal"/>
    <w:pPr>
      <w:ind w:hanging="0" w:start="36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BodyTextIndent2">
    <w:name w:val="Body Text Indent 2"/>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2001-01-11T23:31:00Z</dcterms:created>
  <dc:creator>Terry Farrelly</dc:creator>
  <dc:description/>
  <dc:language>en-CA</dc:language>
  <cp:lastModifiedBy>Les Starck</cp:lastModifiedBy>
  <cp:lastPrinted>2000-11-17T14:09:00Z</cp:lastPrinted>
  <dcterms:modified xsi:type="dcterms:W3CDTF">2001-01-12T14:38:00Z</dcterms:modified>
  <cp:revision>3</cp:revision>
  <dc:subject/>
  <dc:title>Draft</dc:title>
</cp:coreProperties>
</file>