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0"/>
        </w:rPr>
      </w:pPr>
      <w:r>
        <w:rPr>
          <w:sz w:val="20"/>
        </w:rPr>
        <w:t>GCIM Background</w:t>
      </w:r>
    </w:p>
    <w:p>
      <w:pPr>
        <w:pStyle w:val="Normal"/>
        <w:numPr>
          <w:ilvl w:val="0"/>
          <w:numId w:val="3"/>
        </w:numPr>
        <w:rPr>
          <w:sz w:val="20"/>
        </w:rPr>
      </w:pPr>
      <w:r>
        <w:rPr>
          <w:sz w:val="20"/>
        </w:rPr>
        <w:t>The SoCalGas Gas Cost Incentive Mechanism (GCIM) was adopted in 1994 under D.94-03-076 for a three year term and included two components:</w:t>
      </w:r>
    </w:p>
    <w:p>
      <w:pPr>
        <w:pStyle w:val="Normal"/>
        <w:numPr>
          <w:ilvl w:val="1"/>
          <w:numId w:val="3"/>
        </w:numPr>
        <w:rPr>
          <w:sz w:val="20"/>
        </w:rPr>
      </w:pPr>
      <w:r>
        <w:rPr>
          <w:sz w:val="20"/>
        </w:rPr>
        <w:t>Procurement Incentive Mechanism (PIM)</w:t>
      </w:r>
    </w:p>
    <w:p>
      <w:pPr>
        <w:pStyle w:val="Normal"/>
        <w:numPr>
          <w:ilvl w:val="1"/>
          <w:numId w:val="3"/>
        </w:numPr>
        <w:rPr>
          <w:sz w:val="20"/>
        </w:rPr>
      </w:pPr>
      <w:r>
        <w:rPr>
          <w:sz w:val="20"/>
        </w:rPr>
        <w:t>Storage Incentive Mechanism (SIM)</w:t>
      </w:r>
    </w:p>
    <w:p>
      <w:pPr>
        <w:pStyle w:val="Normal"/>
        <w:numPr>
          <w:ilvl w:val="0"/>
          <w:numId w:val="3"/>
        </w:numPr>
        <w:rPr>
          <w:sz w:val="20"/>
        </w:rPr>
      </w:pPr>
      <w:r>
        <w:rPr>
          <w:sz w:val="20"/>
        </w:rPr>
        <w:t>In 1997, the GCIM was extended for another two years (through March 1999) under D.97-06-061, with various modifications.  Among the amendments to the GCIM was the elimination of the SIM.</w:t>
      </w:r>
    </w:p>
    <w:p>
      <w:pPr>
        <w:pStyle w:val="Normal"/>
        <w:numPr>
          <w:ilvl w:val="1"/>
          <w:numId w:val="3"/>
        </w:numPr>
        <w:rPr>
          <w:b/>
          <w:bCs/>
          <w:i/>
          <w:i/>
          <w:iCs/>
          <w:color w:val="0000FF"/>
          <w:sz w:val="20"/>
        </w:rPr>
      </w:pPr>
      <w:r>
        <w:rPr>
          <w:b/>
          <w:bCs/>
          <w:i/>
          <w:iCs/>
          <w:color w:val="0000FF"/>
          <w:sz w:val="20"/>
          <w:u w:val="single"/>
        </w:rPr>
        <w:t>Question</w:t>
      </w:r>
      <w:r>
        <w:rPr>
          <w:b/>
          <w:bCs/>
          <w:i/>
          <w:iCs/>
          <w:color w:val="0000FF"/>
          <w:sz w:val="20"/>
        </w:rPr>
        <w:t>:  Did the 1997 decision modify the PIM to encourage efficient use of storage?</w:t>
      </w:r>
    </w:p>
    <w:p>
      <w:pPr>
        <w:pStyle w:val="Normal"/>
        <w:numPr>
          <w:ilvl w:val="0"/>
          <w:numId w:val="3"/>
        </w:numPr>
        <w:rPr>
          <w:sz w:val="20"/>
        </w:rPr>
      </w:pPr>
      <w:r>
        <w:rPr>
          <w:sz w:val="20"/>
        </w:rPr>
        <w:t xml:space="preserve">It appears that SoCalGas is continuing to operate under the 1997 GCIM even though it has technically expired.  </w:t>
      </w:r>
    </w:p>
    <w:p>
      <w:pPr>
        <w:pStyle w:val="Normal"/>
        <w:numPr>
          <w:ilvl w:val="1"/>
          <w:numId w:val="3"/>
        </w:numPr>
        <w:rPr>
          <w:b/>
          <w:bCs/>
          <w:i/>
          <w:i/>
          <w:iCs/>
          <w:color w:val="0000FF"/>
          <w:sz w:val="20"/>
        </w:rPr>
      </w:pPr>
      <w:r>
        <w:rPr>
          <w:b/>
          <w:bCs/>
          <w:i/>
          <w:iCs/>
          <w:color w:val="0000FF"/>
          <w:sz w:val="20"/>
          <w:u w:val="single"/>
        </w:rPr>
        <w:t>Question</w:t>
      </w:r>
      <w:r>
        <w:rPr>
          <w:b/>
          <w:bCs/>
          <w:i/>
          <w:iCs/>
          <w:color w:val="0000FF"/>
          <w:sz w:val="20"/>
        </w:rPr>
        <w:t>:  Is this correct?</w:t>
      </w:r>
    </w:p>
    <w:p>
      <w:pPr>
        <w:pStyle w:val="Normal"/>
        <w:rPr>
          <w:b/>
          <w:bCs/>
          <w:i/>
          <w:i/>
          <w:iCs/>
          <w:color w:val="0000FF"/>
          <w:sz w:val="20"/>
        </w:rPr>
      </w:pPr>
      <w:r>
        <w:rPr>
          <w:b/>
          <w:bCs/>
          <w:i/>
          <w:iCs/>
          <w:color w:val="0000FF"/>
          <w:sz w:val="20"/>
        </w:rPr>
      </w:r>
    </w:p>
    <w:p>
      <w:pPr>
        <w:pStyle w:val="Heading1"/>
        <w:ind w:hanging="0" w:start="0"/>
        <w:rPr>
          <w:sz w:val="20"/>
        </w:rPr>
      </w:pPr>
      <w:r>
        <w:rPr>
          <w:sz w:val="20"/>
        </w:rPr>
        <w:t xml:space="preserve">Unbundled Storage </w:t>
      </w:r>
    </w:p>
    <w:p>
      <w:pPr>
        <w:pStyle w:val="Normal"/>
        <w:numPr>
          <w:ilvl w:val="0"/>
          <w:numId w:val="2"/>
        </w:numPr>
        <w:rPr>
          <w:sz w:val="20"/>
        </w:rPr>
      </w:pPr>
      <w:r>
        <w:rPr>
          <w:sz w:val="20"/>
        </w:rPr>
        <w:t>Under D.93-02-013, the CPUC unbundled noncore storage services for SoCalGas.  Storage capacity and the related costs are first allocated to core customers and load balancing services.  The remaining capacity and costs are then allocated to the unbundled noncore storage program.</w:t>
      </w:r>
    </w:p>
    <w:p>
      <w:pPr>
        <w:pStyle w:val="Normal"/>
        <w:numPr>
          <w:ilvl w:val="0"/>
          <w:numId w:val="2"/>
        </w:numPr>
        <w:rPr>
          <w:sz w:val="20"/>
        </w:rPr>
      </w:pPr>
      <w:r>
        <w:rPr>
          <w:sz w:val="20"/>
        </w:rPr>
        <w:t>Under the 1993 decision, the costs associated with the unbundled storage program are given 100% balancing account protection through the Noncore Storage Balancing Account (NSBA).</w:t>
      </w:r>
    </w:p>
    <w:p>
      <w:pPr>
        <w:pStyle w:val="Normal"/>
        <w:numPr>
          <w:ilvl w:val="1"/>
          <w:numId w:val="2"/>
        </w:numPr>
        <w:rPr>
          <w:b/>
          <w:bCs/>
          <w:i/>
          <w:i/>
          <w:iCs/>
          <w:color w:val="0000FF"/>
          <w:sz w:val="20"/>
        </w:rPr>
      </w:pPr>
      <w:r>
        <w:rPr>
          <w:b/>
          <w:bCs/>
          <w:i/>
          <w:iCs/>
          <w:color w:val="0000FF"/>
          <w:sz w:val="20"/>
          <w:u w:val="single"/>
        </w:rPr>
        <w:t>Question</w:t>
      </w:r>
      <w:r>
        <w:rPr>
          <w:b/>
          <w:bCs/>
          <w:i/>
          <w:iCs/>
          <w:color w:val="0000FF"/>
          <w:sz w:val="20"/>
        </w:rPr>
        <w:t>:  Does the NSBA allow unrecovered unbundled storage costs to passed through to the core storage rate-base?</w:t>
      </w:r>
    </w:p>
    <w:p>
      <w:pPr>
        <w:pStyle w:val="Normal"/>
        <w:numPr>
          <w:ilvl w:val="0"/>
          <w:numId w:val="2"/>
        </w:numPr>
        <w:rPr>
          <w:sz w:val="20"/>
        </w:rPr>
      </w:pPr>
      <w:r>
        <w:rPr>
          <w:sz w:val="20"/>
        </w:rPr>
        <w:t>Under D.00-04-060, the CPUC amended the rules governing the unbundled storage program:</w:t>
      </w:r>
    </w:p>
    <w:p>
      <w:pPr>
        <w:pStyle w:val="Normal"/>
        <w:numPr>
          <w:ilvl w:val="1"/>
          <w:numId w:val="2"/>
        </w:numPr>
        <w:rPr>
          <w:sz w:val="20"/>
        </w:rPr>
      </w:pPr>
      <w:r>
        <w:rPr>
          <w:sz w:val="20"/>
        </w:rPr>
        <w:t>Reduced the NSBA protection to 50/50</w:t>
      </w:r>
    </w:p>
    <w:p>
      <w:pPr>
        <w:pStyle w:val="Normal"/>
        <w:numPr>
          <w:ilvl w:val="1"/>
          <w:numId w:val="2"/>
        </w:numPr>
        <w:rPr>
          <w:sz w:val="20"/>
        </w:rPr>
      </w:pPr>
      <w:r>
        <w:rPr>
          <w:sz w:val="20"/>
        </w:rPr>
        <w:t>Allowed upward pricing flexibility capped at 120% of the current tariff rates</w:t>
      </w:r>
    </w:p>
    <w:p>
      <w:pPr>
        <w:pStyle w:val="Normal"/>
        <w:numPr>
          <w:ilvl w:val="1"/>
          <w:numId w:val="2"/>
        </w:numPr>
        <w:rPr>
          <w:sz w:val="20"/>
        </w:rPr>
      </w:pPr>
      <w:r>
        <w:rPr>
          <w:sz w:val="20"/>
        </w:rPr>
        <w:t>Limited the costs allocated to the unbundled storage program to $21 million</w:t>
      </w:r>
    </w:p>
    <w:p>
      <w:pPr>
        <w:pStyle w:val="Normal"/>
        <w:numPr>
          <w:ilvl w:val="1"/>
          <w:numId w:val="2"/>
        </w:numPr>
        <w:rPr>
          <w:sz w:val="20"/>
        </w:rPr>
      </w:pPr>
      <w:r>
        <w:rPr>
          <w:sz w:val="20"/>
        </w:rPr>
        <w:t>Bottom line:  SoCalGas’ unbundled storage is moving toward a competitive risk/reward position.</w:t>
      </w:r>
    </w:p>
    <w:p>
      <w:pPr>
        <w:pStyle w:val="Normal"/>
        <w:rPr>
          <w:sz w:val="20"/>
        </w:rPr>
      </w:pPr>
      <w:r>
        <w:rPr>
          <w:sz w:val="20"/>
        </w:rPr>
      </w:r>
    </w:p>
    <w:p>
      <w:pPr>
        <w:pStyle w:val="Heading1"/>
        <w:ind w:hanging="0" w:start="0"/>
        <w:rPr>
          <w:sz w:val="20"/>
        </w:rPr>
      </w:pPr>
      <w:r>
        <w:rPr>
          <w:sz w:val="20"/>
        </w:rPr>
        <w:t>Core Storage Capacity</w:t>
      </w:r>
    </w:p>
    <w:p>
      <w:pPr>
        <w:pStyle w:val="Normal"/>
        <w:numPr>
          <w:ilvl w:val="0"/>
          <w:numId w:val="2"/>
        </w:numPr>
        <w:rPr>
          <w:sz w:val="20"/>
        </w:rPr>
      </w:pPr>
      <w:r>
        <w:rPr>
          <w:sz w:val="20"/>
        </w:rPr>
        <w:t>SoCalGas storage capacity prior to 2000:</w:t>
      </w:r>
    </w:p>
    <w:p>
      <w:pPr>
        <w:pStyle w:val="Normal"/>
        <w:numPr>
          <w:ilvl w:val="1"/>
          <w:numId w:val="2"/>
        </w:numPr>
        <w:rPr>
          <w:sz w:val="20"/>
        </w:rPr>
      </w:pPr>
      <w:r>
        <w:rPr>
          <w:sz w:val="20"/>
        </w:rPr>
        <w:t>Inventory - 70 Bcf; injection - 327 MMcfd; withdrawal - 1985 MMcfd</w:t>
      </w:r>
    </w:p>
    <w:p>
      <w:pPr>
        <w:pStyle w:val="Normal"/>
        <w:numPr>
          <w:ilvl w:val="0"/>
          <w:numId w:val="2"/>
        </w:numPr>
        <w:rPr>
          <w:sz w:val="20"/>
        </w:rPr>
      </w:pPr>
      <w:r>
        <w:rPr>
          <w:sz w:val="20"/>
        </w:rPr>
        <w:t>Comments in D.00-04-060:</w:t>
      </w:r>
    </w:p>
    <w:p>
      <w:pPr>
        <w:pStyle w:val="Normal"/>
        <w:numPr>
          <w:ilvl w:val="1"/>
          <w:numId w:val="2"/>
        </w:numPr>
        <w:rPr>
          <w:sz w:val="20"/>
        </w:rPr>
      </w:pPr>
      <w:r>
        <w:rPr>
          <w:sz w:val="20"/>
        </w:rPr>
        <w:t xml:space="preserve">The Utility Reform Network (TURN) was the only party to present a cost-benefit analysis on the most economical alternative for meeting the core’s peak day requirements in an environment of significant excess interstate capacity.  That analysis indicates that not only should the forecasted increase in the core’s peak day demand be met through flowing supplies, the current reservation could actually be reduced by 200 MMcfd given SoCalGas’ underestimation of the amount of flowing supplies available on a peak day.  TURN’s analysis of the economics of using flowing supplies versus storage withdrawal capacity assumed a cost of gas </w:t>
      </w:r>
      <w:r>
        <w:rPr>
          <w:sz w:val="20"/>
          <w:u w:val="single"/>
        </w:rPr>
        <w:t>ten</w:t>
      </w:r>
      <w:r>
        <w:rPr>
          <w:sz w:val="20"/>
        </w:rPr>
        <w:t xml:space="preserve"> </w:t>
      </w:r>
      <w:r>
        <w:rPr>
          <w:sz w:val="20"/>
          <w:u w:val="single"/>
        </w:rPr>
        <w:t>times</w:t>
      </w:r>
      <w:r>
        <w:rPr>
          <w:sz w:val="20"/>
        </w:rPr>
        <w:t xml:space="preserve"> higher than the current cost of gas.  Even with this assumption, </w:t>
      </w:r>
      <w:r>
        <w:rPr>
          <w:b/>
          <w:bCs/>
          <w:sz w:val="20"/>
        </w:rPr>
        <w:t>the analysis demonstrated significant savings to the core from using flowing supplies rather than storage withdrawals to meet the residual portion of peak day requirements</w:t>
      </w:r>
      <w:r>
        <w:rPr>
          <w:sz w:val="20"/>
        </w:rPr>
        <w:t>.</w:t>
      </w:r>
    </w:p>
    <w:p>
      <w:pPr>
        <w:pStyle w:val="sub1"/>
        <w:numPr>
          <w:ilvl w:val="1"/>
          <w:numId w:val="2"/>
        </w:numPr>
        <w:spacing w:lineRule="auto" w:line="240"/>
        <w:rPr>
          <w:rFonts w:ascii="Times New Roman" w:hAnsi="Times New Roman" w:cs="Times New Roman"/>
          <w:sz w:val="20"/>
        </w:rPr>
      </w:pPr>
      <w:r>
        <w:rPr>
          <w:rFonts w:cs="Times New Roman" w:ascii="Times New Roman" w:hAnsi="Times New Roman"/>
          <w:sz w:val="20"/>
        </w:rPr>
        <w:t>SoCalGas’ rebuttal to TURN’s analysis consisted of two sentences:  Severe peak day events in Chicago gas markets (as well as here in the California electric PX market) indicate that the price of peak day supplies can exceed $20/mcf.  TURN’s recommended 1782 MMcfd storage withdrawal reservation must be rejected because their analysis is too casually based upon speculative gas cost figures that have no reliable historical basis.</w:t>
      </w:r>
    </w:p>
    <w:p>
      <w:pPr>
        <w:pStyle w:val="sub1"/>
        <w:numPr>
          <w:ilvl w:val="0"/>
          <w:numId w:val="2"/>
        </w:numPr>
        <w:spacing w:lineRule="auto" w:line="240"/>
        <w:rPr>
          <w:rFonts w:ascii="Times New Roman" w:hAnsi="Times New Roman" w:cs="Times New Roman"/>
          <w:sz w:val="20"/>
        </w:rPr>
      </w:pPr>
      <w:r>
        <w:rPr>
          <w:rFonts w:cs="Times New Roman" w:ascii="Times New Roman" w:hAnsi="Times New Roman"/>
          <w:sz w:val="20"/>
        </w:rPr>
        <w:t>D.00-04-060 decreased SoCalGas’ withdrawal capacity to 1935 MMcfd</w:t>
      </w:r>
    </w:p>
    <w:p>
      <w:pPr>
        <w:pStyle w:val="sub1"/>
        <w:numPr>
          <w:ilvl w:val="0"/>
          <w:numId w:val="2"/>
        </w:numPr>
        <w:spacing w:lineRule="auto" w:line="240"/>
        <w:rPr>
          <w:rFonts w:ascii="Times New Roman" w:hAnsi="Times New Roman" w:cs="Times New Roman"/>
          <w:sz w:val="20"/>
        </w:rPr>
      </w:pPr>
      <w:r>
        <w:rPr>
          <w:rFonts w:cs="Times New Roman" w:ascii="Times New Roman" w:hAnsi="Times New Roman"/>
          <w:sz w:val="20"/>
        </w:rPr>
        <w:t>Commisioner Bilas’ Proposed Decision (Jan 2001) would decrease inventory capacity to 55 Bcf, leaving injection (327 MMcfd) and withdrawal (1935 MMcfd) capacities unchanged.</w:t>
      </w:r>
    </w:p>
    <w:p>
      <w:pPr>
        <w:pStyle w:val="sub1"/>
        <w:numPr>
          <w:ilvl w:val="0"/>
          <w:numId w:val="2"/>
        </w:numPr>
        <w:spacing w:lineRule="auto" w:line="240"/>
        <w:rPr>
          <w:rFonts w:ascii="Times New Roman" w:hAnsi="Times New Roman" w:cs="Times New Roman"/>
          <w:b/>
          <w:bCs/>
          <w:i/>
          <w:i/>
          <w:iCs/>
          <w:color w:val="0000FF"/>
          <w:sz w:val="24"/>
        </w:rPr>
      </w:pPr>
      <w:r>
        <w:rPr>
          <w:rFonts w:cs="Times New Roman" w:ascii="Times New Roman" w:hAnsi="Times New Roman"/>
          <w:b/>
          <w:bCs/>
          <w:i/>
          <w:iCs/>
          <w:color w:val="0000FF"/>
          <w:sz w:val="20"/>
          <w:u w:val="single"/>
        </w:rPr>
        <w:t>Question</w:t>
      </w:r>
      <w:r>
        <w:rPr>
          <w:rFonts w:cs="Times New Roman" w:ascii="Times New Roman" w:hAnsi="Times New Roman"/>
          <w:b/>
          <w:bCs/>
          <w:i/>
          <w:iCs/>
          <w:color w:val="0000FF"/>
          <w:sz w:val="20"/>
        </w:rPr>
        <w:t>:  Is SoCalGas incentivized to be risk averse (i.e. utilize more storage capacity than is market efficient) due to its ability to pass-thru core storage costs?</w:t>
      </w:r>
    </w:p>
    <w:p>
      <w:pPr>
        <w:pStyle w:val="sub1"/>
        <w:spacing w:lineRule="auto" w:line="240"/>
        <w:rPr>
          <w:rFonts w:ascii="Times New Roman" w:hAnsi="Times New Roman" w:cs="Times New Roman"/>
          <w:b/>
          <w:bCs/>
          <w:i/>
          <w:i/>
          <w:iCs/>
          <w:color w:val="0000FF"/>
          <w:sz w:val="24"/>
        </w:rPr>
      </w:pPr>
      <w:r>
        <w:rPr>
          <w:rFonts w:cs="Times New Roman" w:ascii="Times New Roman" w:hAnsi="Times New Roman"/>
          <w:b/>
          <w:bCs/>
          <w:i/>
          <w:iCs/>
          <w:color w:val="0000FF"/>
          <w:sz w:val="24"/>
        </w:rPr>
      </w:r>
    </w:p>
    <w:p>
      <w:pPr>
        <w:pStyle w:val="sub1"/>
        <w:spacing w:lineRule="auto" w:line="240"/>
        <w:ind w:hanging="0" w:end="0"/>
        <w:rPr>
          <w:rFonts w:ascii="Times New Roman" w:hAnsi="Times New Roman" w:cs="Times New Roman"/>
          <w:b/>
          <w:bCs/>
          <w:color w:val="0000FF"/>
          <w:sz w:val="24"/>
          <w:u w:val="single"/>
        </w:rPr>
      </w:pPr>
      <w:r>
        <w:rPr>
          <w:rFonts w:cs="Times New Roman" w:ascii="Times New Roman" w:hAnsi="Times New Roman"/>
          <w:b/>
          <w:bCs/>
          <w:color w:val="0000FF"/>
          <w:sz w:val="24"/>
          <w:u w:val="single"/>
        </w:rPr>
        <w:t>Underlying Question:  How do the various decisions/rulings affect SoCalGas’ day-to-day decisions regarding storage injection/withdrawal?</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Palatino">
    <w:altName w:val="Book Antiqua"/>
    <w:charset w:val="00" w:characterSet="windows-1252"/>
    <w:family w:val="roman"/>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1">
    <w:name w:val="sub1"/>
    <w:basedOn w:val="Normal"/>
    <w:qFormat/>
    <w:pPr>
      <w:spacing w:lineRule="auto" w:line="360"/>
      <w:ind w:firstLine="1080" w:start="0" w:end="0"/>
    </w:pPr>
    <w:rPr>
      <w:rFonts w:ascii="Palatino;Book Antiqua" w:hAnsi="Palatino;Book Antiqua" w:cs="Palatino;Book Antiqua"/>
      <w:sz w:val="26"/>
      <w:szCs w:val="20"/>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2001-01-30T18:38:00Z</dcterms:created>
  <dc:creator>Tyrell</dc:creator>
  <dc:description/>
  <dc:language>en-CA</dc:language>
  <cp:lastModifiedBy>Tyrell</cp:lastModifiedBy>
  <cp:lastPrinted>2001-01-30T15:49:00Z</cp:lastPrinted>
  <dcterms:modified xsi:type="dcterms:W3CDTF">2001-01-30T20:26:00Z</dcterms:modified>
  <cp:revision>6</cp:revision>
  <dc:subject/>
  <dc:title>GCIM Background</dc:title>
</cp:coreProperties>
</file>