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0"/>
        </w:rPr>
      </w:pPr>
      <w:r>
        <w:rPr>
          <w:sz w:val="20"/>
        </w:rPr>
        <w:drawing>
          <wp:inline distT="0" distB="0" distL="0" distR="0">
            <wp:extent cx="934720" cy="9347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4" r="-34" b="-34"/>
                    <a:stretch>
                      <a:fillRect/>
                    </a:stretch>
                  </pic:blipFill>
                  <pic:spPr bwMode="auto">
                    <a:xfrm>
                      <a:off x="0" y="0"/>
                      <a:ext cx="934720" cy="934720"/>
                    </a:xfrm>
                    <a:prstGeom prst="rect">
                      <a:avLst/>
                    </a:prstGeom>
                    <a:noFill/>
                  </pic:spPr>
                </pic:pic>
              </a:graphicData>
            </a:graphic>
          </wp:inline>
        </w:drawing>
      </w:r>
    </w:p>
    <w:p>
      <w:pPr>
        <w:pStyle w:val="Normal"/>
        <w:widowControl/>
        <w:jc w:val="center"/>
        <w:rPr>
          <w:b/>
        </w:rPr>
      </w:pPr>
      <w:r>
        <w:rPr>
          <w:b/>
          <w:sz w:val="32"/>
          <w:u w:val="single"/>
        </w:rPr>
        <w:t>NATURAL GAS SUPPLY PROPOSAL</w:t>
      </w:r>
    </w:p>
    <w:p>
      <w:pPr>
        <w:pStyle w:val="Normal"/>
        <w:widowControl/>
        <w:jc w:val="center"/>
        <w:rPr>
          <w:b/>
        </w:rPr>
      </w:pPr>
      <w:r>
        <w:rPr>
          <w:b/>
        </w:rPr>
        <w:t>for</w:t>
      </w:r>
    </w:p>
    <w:p>
      <w:pPr>
        <w:pStyle w:val="Normal"/>
        <w:widowControl/>
        <w:jc w:val="center"/>
        <w:rPr>
          <w:b/>
        </w:rPr>
      </w:pPr>
      <w:r>
        <w:rPr>
          <w:b/>
          <w:sz w:val="28"/>
        </w:rPr>
        <w:t>Calgary Winterclub</w:t>
      </w:r>
    </w:p>
    <w:p>
      <w:pPr>
        <w:pStyle w:val="Normal"/>
        <w:widowControl/>
        <w:jc w:val="center"/>
        <w:rPr>
          <w:b/>
        </w:rPr>
      </w:pPr>
      <w:r>
        <w:rPr>
          <w:b/>
        </w:rPr>
        <w:t>December 20, 2000</w:t>
      </w:r>
    </w:p>
    <w:p>
      <w:pPr>
        <w:pStyle w:val="Normal"/>
        <w:widowControl/>
        <w:jc w:val="center"/>
        <w:rPr>
          <w:b/>
        </w:rPr>
      </w:pPr>
      <w:r>
        <w:rPr>
          <w:b/>
        </w:rPr>
      </w:r>
    </w:p>
    <w:p>
      <w:pPr>
        <w:pStyle w:val="Normal"/>
        <w:jc w:val="both"/>
        <w:rPr/>
      </w:pPr>
      <w:r>
        <w:rPr/>
        <w:t>Enron Canada is certainly interested in assisting Calgary Winterclub with its natural gas supply requirements.</w:t>
      </w:r>
    </w:p>
    <w:p>
      <w:pPr>
        <w:pStyle w:val="Normal"/>
        <w:jc w:val="both"/>
        <w:rPr/>
      </w:pPr>
      <w:r>
        <w:rPr/>
      </w:r>
    </w:p>
    <w:p>
      <w:pPr>
        <w:pStyle w:val="Normal"/>
        <w:jc w:val="both"/>
        <w:rPr/>
      </w:pPr>
      <w:r>
        <w:rPr/>
        <w:t>On behalf of producer clients, Enron Canada currently manages approximately 1 Bcf of gas in Alberta, 0.3 Bcf in British Columbia and volumes in Ontario, Quebec and Saskatchewan as well.  We act as agent for many end-users in Alberta, Ontario and Quebec.  In the latest RiskAdvisory survey, Enron was ranked #1 overall in providing natural gas portfolio management services.</w:t>
      </w:r>
    </w:p>
    <w:p>
      <w:pPr>
        <w:pStyle w:val="body"/>
        <w:spacing w:before="0" w:after="0"/>
        <w:rPr>
          <w:rFonts w:ascii="Times New Roman" w:hAnsi="Times New Roman" w:cs="Times New Roman"/>
          <w:sz w:val="24"/>
        </w:rPr>
      </w:pPr>
      <w:r>
        <w:rPr>
          <w:rFonts w:cs="Times New Roman" w:ascii="Times New Roman" w:hAnsi="Times New Roman"/>
          <w:sz w:val="24"/>
        </w:rPr>
      </w:r>
    </w:p>
    <w:p>
      <w:pPr>
        <w:pStyle w:val="Normal"/>
        <w:rPr/>
      </w:pPr>
      <w:r>
        <w:rPr/>
        <w:t>Please review the following proposal for the supply of gas:</w:t>
      </w:r>
    </w:p>
    <w:p>
      <w:pPr>
        <w:pStyle w:val="Normal"/>
        <w:widowControl/>
        <w:rPr>
          <w:b/>
          <w:u w:val="single"/>
        </w:rPr>
      </w:pPr>
      <w:r>
        <w:rPr>
          <w:b/>
          <w:u w:val="single"/>
        </w:rPr>
      </w:r>
    </w:p>
    <w:p>
      <w:pPr>
        <w:pStyle w:val="Normal"/>
        <w:widowControl/>
        <w:rPr/>
      </w:pPr>
      <w:r>
        <w:rPr>
          <w:b/>
          <w:u w:val="single"/>
        </w:rPr>
        <w:t>BUYER:</w:t>
      </w:r>
      <w:r>
        <w:rPr/>
        <w:tab/>
        <w:t>Calgary Winterclub</w:t>
      </w:r>
    </w:p>
    <w:p>
      <w:pPr>
        <w:pStyle w:val="Normal"/>
        <w:widowControl/>
        <w:rPr/>
      </w:pPr>
      <w:r>
        <w:rPr/>
      </w:r>
    </w:p>
    <w:p>
      <w:pPr>
        <w:pStyle w:val="Normal"/>
        <w:widowControl/>
        <w:rPr/>
      </w:pPr>
      <w:r>
        <w:rPr>
          <w:b/>
          <w:u w:val="single"/>
        </w:rPr>
        <w:t>SELLER:</w:t>
      </w:r>
      <w:r>
        <w:rPr/>
        <w:tab/>
        <w:t>Enron Canada Corp. (“ECC”)</w:t>
      </w:r>
    </w:p>
    <w:p>
      <w:pPr>
        <w:pStyle w:val="Normal"/>
        <w:widowControl/>
        <w:rPr>
          <w:b/>
          <w:u w:val="single"/>
        </w:rPr>
      </w:pPr>
      <w:r>
        <w:rPr>
          <w:b/>
          <w:u w:val="single"/>
        </w:rPr>
      </w:r>
    </w:p>
    <w:p>
      <w:pPr>
        <w:pStyle w:val="Normal"/>
        <w:widowControl/>
        <w:rPr/>
      </w:pPr>
      <w:r>
        <w:rPr>
          <w:b/>
          <w:u w:val="single"/>
        </w:rPr>
        <w:t>TERM:</w:t>
      </w:r>
      <w:r>
        <w:rPr/>
        <w:tab/>
        <w:t xml:space="preserve">The “Term” shall be as defined in Table #1. </w:t>
      </w:r>
    </w:p>
    <w:p>
      <w:pPr>
        <w:pStyle w:val="Normal"/>
        <w:widowControl/>
        <w:rPr>
          <w:b/>
          <w:u w:val="single"/>
        </w:rPr>
      </w:pPr>
      <w:r>
        <w:rPr>
          <w:b/>
          <w:u w:val="single"/>
        </w:rPr>
      </w:r>
    </w:p>
    <w:p>
      <w:pPr>
        <w:pStyle w:val="Normal"/>
        <w:widowControl/>
        <w:ind w:hanging="1440" w:start="1440" w:end="0"/>
        <w:rPr/>
      </w:pPr>
      <w:r>
        <w:rPr>
          <w:b/>
          <w:u w:val="single"/>
        </w:rPr>
        <w:t>VOLUME:</w:t>
      </w:r>
      <w:r>
        <w:rPr/>
        <w:tab/>
        <w:t xml:space="preserve">Firm (“FT”) baseload volume at AECO as follows: </w:t>
      </w:r>
    </w:p>
    <w:p>
      <w:pPr>
        <w:pStyle w:val="Normal"/>
        <w:widowControl/>
        <w:ind w:hanging="1440" w:start="1440" w:end="0"/>
        <w:rPr/>
      </w:pPr>
      <w:r>
        <w:rPr/>
      </w:r>
    </w:p>
    <w:p>
      <w:pPr>
        <w:pStyle w:val="Normal"/>
        <w:widowControl/>
        <w:ind w:firstLine="720" w:start="1440" w:end="0"/>
        <w:rPr/>
      </w:pPr>
      <w:r>
        <w:rPr/>
        <w:t xml:space="preserve">January </w:t>
        <w:tab/>
        <w:tab/>
        <w:t xml:space="preserve">6,823 GJ/month </w:t>
      </w:r>
    </w:p>
    <w:p>
      <w:pPr>
        <w:pStyle w:val="Normal"/>
        <w:widowControl/>
        <w:ind w:firstLine="720" w:start="1440" w:end="0"/>
        <w:rPr/>
      </w:pPr>
      <w:r>
        <w:rPr/>
        <w:t xml:space="preserve">February </w:t>
        <w:tab/>
        <w:tab/>
        <w:t>7,698 GJ/month</w:t>
      </w:r>
    </w:p>
    <w:p>
      <w:pPr>
        <w:pStyle w:val="Normal"/>
        <w:widowControl/>
        <w:ind w:firstLine="720" w:start="1440" w:end="0"/>
        <w:rPr/>
      </w:pPr>
      <w:r>
        <w:rPr/>
        <w:t xml:space="preserve">March </w:t>
        <w:tab/>
        <w:tab/>
        <w:tab/>
        <w:t>7,470 GJ/month</w:t>
      </w:r>
    </w:p>
    <w:p>
      <w:pPr>
        <w:pStyle w:val="Normal"/>
        <w:widowControl/>
        <w:ind w:firstLine="720" w:start="1440" w:end="0"/>
        <w:rPr/>
      </w:pPr>
      <w:r>
        <w:rPr/>
        <w:t xml:space="preserve">April </w:t>
        <w:tab/>
        <w:tab/>
        <w:tab/>
        <w:t>6,921 GJ/month</w:t>
      </w:r>
    </w:p>
    <w:p>
      <w:pPr>
        <w:pStyle w:val="Normal"/>
        <w:widowControl/>
        <w:ind w:firstLine="720" w:start="1440" w:end="0"/>
        <w:rPr/>
      </w:pPr>
      <w:r>
        <w:rPr/>
        <w:t xml:space="preserve">May </w:t>
        <w:tab/>
        <w:tab/>
        <w:tab/>
        <w:t>6,194 GJ/month</w:t>
      </w:r>
    </w:p>
    <w:p>
      <w:pPr>
        <w:pStyle w:val="Normal"/>
        <w:widowControl/>
        <w:ind w:firstLine="720" w:start="1440" w:end="0"/>
        <w:rPr/>
      </w:pPr>
      <w:r>
        <w:rPr/>
        <w:t xml:space="preserve">June </w:t>
        <w:tab/>
        <w:tab/>
        <w:tab/>
        <w:t>5,669 GJ/month</w:t>
      </w:r>
    </w:p>
    <w:p>
      <w:pPr>
        <w:pStyle w:val="Normal"/>
        <w:widowControl/>
        <w:ind w:firstLine="720" w:start="1440" w:end="0"/>
        <w:rPr/>
      </w:pPr>
      <w:r>
        <w:rPr/>
        <w:t xml:space="preserve">July </w:t>
        <w:tab/>
        <w:tab/>
        <w:tab/>
        <w:t>5,449 GJ/month</w:t>
      </w:r>
    </w:p>
    <w:p>
      <w:pPr>
        <w:pStyle w:val="Normal"/>
        <w:widowControl/>
        <w:ind w:firstLine="720" w:start="1440" w:end="0"/>
        <w:rPr/>
      </w:pPr>
      <w:r>
        <w:rPr/>
        <w:t xml:space="preserve">August </w:t>
        <w:tab/>
        <w:tab/>
        <w:t>5,238 GJ/month</w:t>
      </w:r>
    </w:p>
    <w:p>
      <w:pPr>
        <w:pStyle w:val="Normal"/>
        <w:widowControl/>
        <w:ind w:firstLine="720" w:start="1440" w:end="0"/>
        <w:rPr/>
      </w:pPr>
      <w:r>
        <w:rPr/>
        <w:t>September</w:t>
        <w:tab/>
        <w:tab/>
        <w:t>5,204 GJ/month</w:t>
      </w:r>
    </w:p>
    <w:p>
      <w:pPr>
        <w:pStyle w:val="Normal"/>
        <w:widowControl/>
        <w:ind w:firstLine="720" w:start="1440" w:end="0"/>
        <w:rPr/>
      </w:pPr>
      <w:r>
        <w:rPr/>
        <w:t xml:space="preserve">October </w:t>
        <w:tab/>
        <w:tab/>
        <w:t>5,570 GJ/month</w:t>
      </w:r>
    </w:p>
    <w:p>
      <w:pPr>
        <w:pStyle w:val="Normal"/>
        <w:widowControl/>
        <w:ind w:firstLine="720" w:start="1440" w:end="0"/>
        <w:rPr/>
      </w:pPr>
      <w:r>
        <w:rPr/>
        <w:t xml:space="preserve">November </w:t>
        <w:tab/>
        <w:tab/>
        <w:t>6,013 GJ/month</w:t>
      </w:r>
    </w:p>
    <w:p>
      <w:pPr>
        <w:pStyle w:val="Normal"/>
        <w:widowControl/>
        <w:ind w:firstLine="720" w:start="1440" w:end="0"/>
        <w:rPr>
          <w:b/>
          <w:u w:val="single"/>
        </w:rPr>
      </w:pPr>
      <w:r>
        <w:rPr/>
        <w:t xml:space="preserve">December </w:t>
        <w:tab/>
        <w:tab/>
        <w:t>6,768 GJ/month</w:t>
      </w:r>
    </w:p>
    <w:p>
      <w:pPr>
        <w:pStyle w:val="Normal"/>
        <w:widowControl/>
        <w:ind w:hanging="1440" w:start="1440" w:end="0"/>
        <w:rPr>
          <w:b/>
          <w:u w:val="single"/>
        </w:rPr>
      </w:pPr>
      <w:r>
        <w:rPr>
          <w:b/>
          <w:u w:val="single"/>
        </w:rPr>
      </w:r>
    </w:p>
    <w:p>
      <w:pPr>
        <w:pStyle w:val="Normal"/>
        <w:widowControl/>
        <w:ind w:hanging="1440" w:start="1440" w:end="0"/>
        <w:jc w:val="both"/>
        <w:rPr/>
      </w:pPr>
      <w:r>
        <w:rPr/>
        <w:tab/>
        <w:t>Due to the variable nature of your requirements, Enron Canada proposes that we deliver the above individual monthly firm volumes according to Calgary Winterclub’s need.</w:t>
      </w:r>
    </w:p>
    <w:p>
      <w:pPr>
        <w:pStyle w:val="Normal"/>
        <w:widowControl/>
        <w:ind w:hanging="1440" w:start="1440" w:end="0"/>
        <w:jc w:val="both"/>
        <w:rPr/>
      </w:pPr>
      <w:r>
        <w:rPr/>
      </w:r>
    </w:p>
    <w:p>
      <w:pPr>
        <w:pStyle w:val="Normal"/>
        <w:widowControl/>
        <w:ind w:hanging="1440" w:start="1440" w:end="0"/>
        <w:jc w:val="both"/>
        <w:rPr/>
      </w:pPr>
      <w:r>
        <w:rPr/>
        <w:tab/>
        <w:t>Further, if Calgary Winterclub requires more or less gas in any given month, Enron will balance Calgary Winterclub’s volumes on a monthly basis to meet Calgary Winterclub’s needs.</w:t>
      </w:r>
    </w:p>
    <w:p>
      <w:pPr>
        <w:pStyle w:val="Normal"/>
        <w:widowControl/>
        <w:ind w:hanging="1440" w:start="1440" w:end="0"/>
        <w:rPr/>
      </w:pPr>
      <w:r>
        <w:rPr/>
      </w:r>
    </w:p>
    <w:p>
      <w:pPr>
        <w:pStyle w:val="Normal"/>
        <w:widowControl/>
        <w:rPr>
          <w:b/>
          <w:u w:val="single"/>
        </w:rPr>
      </w:pPr>
      <w:r>
        <w:rPr>
          <w:b/>
          <w:u w:val="single"/>
        </w:rPr>
        <w:t>DELIVERY POINT:</w:t>
      </w:r>
    </w:p>
    <w:p>
      <w:pPr>
        <w:pStyle w:val="Normal"/>
        <w:widowControl/>
        <w:rPr>
          <w:b/>
          <w:u w:val="single"/>
        </w:rPr>
      </w:pPr>
      <w:r>
        <w:rPr>
          <w:b/>
          <w:u w:val="single"/>
        </w:rPr>
      </w:r>
    </w:p>
    <w:p>
      <w:pPr>
        <w:pStyle w:val="Normal"/>
        <w:widowControl/>
        <w:rPr/>
      </w:pPr>
      <w:r>
        <w:rPr/>
        <w:tab/>
        <w:tab/>
        <w:t xml:space="preserve">NOVA Inventory Transfer (NIT) </w:t>
      </w:r>
    </w:p>
    <w:p>
      <w:pPr>
        <w:pStyle w:val="Normal"/>
        <w:widowControl/>
        <w:rPr/>
      </w:pPr>
      <w:r>
        <w:rPr/>
      </w:r>
    </w:p>
    <w:p>
      <w:pPr>
        <w:pStyle w:val="Normal"/>
        <w:widowControl/>
        <w:jc w:val="both"/>
        <w:rPr/>
      </w:pPr>
      <w:r>
        <w:rPr/>
        <w:tab/>
        <w:tab/>
        <w:t xml:space="preserve">Enron Canada Corp. proposes that Calgary Winterclub set up a NOVA </w:t>
        <w:tab/>
      </w:r>
    </w:p>
    <w:p>
      <w:pPr>
        <w:pStyle w:val="Normal"/>
        <w:widowControl/>
        <w:jc w:val="both"/>
        <w:rPr/>
      </w:pPr>
      <w:r>
        <w:rPr/>
        <w:tab/>
        <w:tab/>
        <w:t xml:space="preserve">Gas account.  Enron Canada will act as agent for Calgary Winterclub </w:t>
      </w:r>
    </w:p>
    <w:p>
      <w:pPr>
        <w:pStyle w:val="Normal"/>
        <w:widowControl/>
        <w:jc w:val="both"/>
        <w:rPr/>
      </w:pPr>
      <w:r>
        <w:rPr/>
        <w:tab/>
        <w:tab/>
        <w:t xml:space="preserve">by delivering the forementioned monthly volumes to the account and by </w:t>
      </w:r>
    </w:p>
    <w:p>
      <w:pPr>
        <w:pStyle w:val="Normal"/>
        <w:widowControl/>
        <w:jc w:val="both"/>
        <w:rPr/>
      </w:pPr>
      <w:r>
        <w:rPr/>
        <w:tab/>
        <w:tab/>
        <w:t>ensuring that the account is balanced on a monthly basis.</w:t>
      </w:r>
    </w:p>
    <w:p>
      <w:pPr>
        <w:pStyle w:val="Normal"/>
        <w:widowControl/>
        <w:rPr/>
      </w:pPr>
      <w:r>
        <w:rPr/>
      </w:r>
    </w:p>
    <w:p>
      <w:pPr>
        <w:pStyle w:val="Normal"/>
        <w:widowControl/>
        <w:jc w:val="both"/>
        <w:rPr/>
      </w:pPr>
      <w:r>
        <w:rPr>
          <w:b/>
          <w:u w:val="single"/>
        </w:rPr>
        <w:t>PRICE:</w:t>
      </w:r>
      <w:r>
        <w:rPr/>
        <w:tab/>
        <w:t xml:space="preserve">Prices are subject to change with market fluctuations and must be </w:t>
        <w:tab/>
        <w:tab/>
        <w:tab/>
        <w:tab/>
        <w:t>confirmed with ECC prior to acceptance.</w:t>
      </w:r>
    </w:p>
    <w:p>
      <w:pPr>
        <w:pStyle w:val="Normal"/>
        <w:widowControl/>
        <w:ind w:start="1440" w:end="0"/>
        <w:jc w:val="both"/>
        <w:rPr/>
      </w:pPr>
      <w:r>
        <w:rPr/>
      </w:r>
    </w:p>
    <w:p>
      <w:pPr>
        <w:pStyle w:val="Normal"/>
        <w:widowControl/>
        <w:ind w:start="1440" w:end="0"/>
        <w:jc w:val="both"/>
        <w:rPr/>
      </w:pPr>
      <w:r>
        <w:rPr/>
        <w:t>The “Price” shall be as defined in Table #1 firm volume delivery at NIT.</w:t>
      </w:r>
    </w:p>
    <w:p>
      <w:pPr>
        <w:pStyle w:val="Normal"/>
        <w:widowControl/>
        <w:jc w:val="both"/>
        <w:rPr>
          <w:b/>
        </w:rPr>
      </w:pPr>
      <w:r>
        <w:rPr>
          <w:b/>
        </w:rPr>
      </w:r>
    </w:p>
    <w:p>
      <w:pPr>
        <w:pStyle w:val="Normal"/>
        <w:widowControl/>
        <w:jc w:val="both"/>
        <w:rPr/>
      </w:pPr>
      <w:r>
        <w:rPr>
          <w:b/>
        </w:rPr>
        <w:tab/>
        <w:tab/>
      </w:r>
      <w:r>
        <w:rPr/>
        <w:t xml:space="preserve">If Calgary Winterclub needs more gas in any given month, Enron Canada </w:t>
        <w:tab/>
        <w:tab/>
        <w:tab/>
        <w:t xml:space="preserve">will balance Calgary Winterclub’s account by selling at the Canadian Gas </w:t>
        <w:tab/>
        <w:tab/>
        <w:tab/>
        <w:t xml:space="preserve">Price Reporter (CGPR) AECO Daily Index </w:t>
      </w:r>
      <w:r>
        <w:rPr>
          <w:u w:val="single"/>
        </w:rPr>
        <w:t xml:space="preserve">plus </w:t>
      </w:r>
      <w:r>
        <w:rPr/>
        <w:t>C$0.02/GJ.</w:t>
      </w:r>
    </w:p>
    <w:p>
      <w:pPr>
        <w:pStyle w:val="Normal"/>
        <w:widowControl/>
        <w:jc w:val="both"/>
        <w:rPr/>
      </w:pPr>
      <w:r>
        <w:rPr/>
      </w:r>
    </w:p>
    <w:p>
      <w:pPr>
        <w:pStyle w:val="Normal"/>
        <w:ind w:start="1440" w:end="0"/>
        <w:jc w:val="both"/>
        <w:rPr/>
      </w:pPr>
      <w:r>
        <w:rPr/>
        <w:t xml:space="preserve">If Calgary Winterclub’s account has a surplus of gas in any given month, Enron will buy at the Canadian Gas Price Reporter (CGPR) Aeco Daily Index </w:t>
      </w:r>
      <w:r>
        <w:rPr>
          <w:u w:val="single"/>
        </w:rPr>
        <w:t>less</w:t>
      </w:r>
      <w:r>
        <w:rPr/>
        <w:t xml:space="preserve"> C$0.02/GJ.</w:t>
      </w:r>
    </w:p>
    <w:p>
      <w:pPr>
        <w:pStyle w:val="Normal"/>
        <w:widowControl/>
        <w:jc w:val="both"/>
        <w:rPr/>
      </w:pPr>
      <w:r>
        <w:rPr/>
      </w:r>
    </w:p>
    <w:p>
      <w:pPr>
        <w:pStyle w:val="BodyTextIndent"/>
        <w:ind w:hanging="3510" w:start="4320" w:end="0"/>
        <w:jc w:val="both"/>
        <w:rPr/>
      </w:pPr>
      <w:r>
        <w:rPr/>
        <w:t>Table #1:</w:t>
      </w:r>
    </w:p>
    <w:tbl>
      <w:tblPr>
        <w:tblW w:w="7920" w:type="dxa"/>
        <w:jc w:val="start"/>
        <w:tblInd w:w="918" w:type="dxa"/>
        <w:tblLayout w:type="fixed"/>
        <w:tblCellMar>
          <w:top w:w="0" w:type="dxa"/>
          <w:start w:w="108" w:type="dxa"/>
          <w:bottom w:w="0" w:type="dxa"/>
          <w:end w:w="108" w:type="dxa"/>
        </w:tblCellMar>
      </w:tblPr>
      <w:tblGrid>
        <w:gridCol w:w="3060"/>
        <w:gridCol w:w="2970"/>
        <w:gridCol w:w="1890"/>
      </w:tblGrid>
      <w:tr>
        <w:trPr/>
        <w:tc>
          <w:tcPr>
            <w:tcW w:w="306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Start Date</w:t>
            </w:r>
          </w:p>
        </w:tc>
        <w:tc>
          <w:tcPr>
            <w:tcW w:w="297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End Date</w:t>
            </w:r>
          </w:p>
        </w:tc>
        <w:tc>
          <w:tcPr>
            <w:tcW w:w="189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Commodity Price (C$/GJ)</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January 01/01</w:t>
            </w:r>
          </w:p>
        </w:tc>
        <w:tc>
          <w:tcPr>
            <w:tcW w:w="297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December 31/01</w:t>
            </w:r>
          </w:p>
        </w:tc>
        <w:tc>
          <w:tcPr>
            <w:tcW w:w="189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8.72</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January 01/01</w:t>
            </w:r>
          </w:p>
        </w:tc>
        <w:tc>
          <w:tcPr>
            <w:tcW w:w="297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December 31/02</w:t>
            </w:r>
          </w:p>
        </w:tc>
        <w:tc>
          <w:tcPr>
            <w:tcW w:w="189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7.30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January 01/01</w:t>
            </w:r>
          </w:p>
        </w:tc>
        <w:tc>
          <w:tcPr>
            <w:tcW w:w="297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December 31/03</w:t>
            </w:r>
          </w:p>
        </w:tc>
        <w:tc>
          <w:tcPr>
            <w:tcW w:w="189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6.58</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January 01/01</w:t>
            </w:r>
          </w:p>
        </w:tc>
        <w:tc>
          <w:tcPr>
            <w:tcW w:w="297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December 31/05</w:t>
            </w:r>
          </w:p>
        </w:tc>
        <w:tc>
          <w:tcPr>
            <w:tcW w:w="189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center"/>
              <w:rPr>
                <w:sz w:val="24"/>
              </w:rPr>
            </w:pPr>
            <w:r>
              <w:rPr>
                <w:sz w:val="24"/>
              </w:rPr>
              <w:t>5.86</w:t>
            </w:r>
          </w:p>
        </w:tc>
      </w:tr>
    </w:tbl>
    <w:p>
      <w:pPr>
        <w:pStyle w:val="Normal"/>
        <w:widowControl/>
        <w:jc w:val="both"/>
        <w:rPr>
          <w:b/>
        </w:rPr>
      </w:pPr>
      <w:r>
        <w:rPr>
          <w:b/>
        </w:rPr>
        <w:tab/>
        <w:tab/>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b/>
          <w:u w:val="single"/>
        </w:rPr>
      </w:pPr>
      <w:r>
        <w:rPr>
          <w:b/>
          <w:u w:val="single"/>
        </w:rPr>
        <w:t>NON-BINDING PROPOSAL</w:t>
      </w:r>
    </w:p>
    <w:p>
      <w:pPr>
        <w:pStyle w:val="Normal"/>
        <w:widowControl/>
        <w:jc w:val="both"/>
        <w:rPr/>
      </w:pPr>
      <w:r>
        <w:rPr/>
        <w:t>This proposal is for discussion purposes only.  The proposed transaction referred to in this proposal, and all terms, conditions, prices, and commercial terms referred to in this proposal are indicative only and are subject to revision.  This proposal does not, and is not intended to, create an offer for acceptance, an agreement between the parties, an obligation to negotiate, or other binding obligation, and no party may assert (and expressly releases) any claim or allegation that any such binding obligation exists.</w:t>
      </w:r>
    </w:p>
    <w:p>
      <w:pPr>
        <w:pStyle w:val="Normal"/>
        <w:widowControl/>
        <w:jc w:val="both"/>
        <w:rPr/>
      </w:pPr>
      <w:r>
        <w:rPr/>
      </w:r>
    </w:p>
    <w:p>
      <w:pPr>
        <w:pStyle w:val="Normal"/>
        <w:widowControl/>
        <w:jc w:val="both"/>
        <w:rPr/>
      </w:pPr>
      <w:r>
        <w:rPr/>
      </w:r>
    </w:p>
    <w:p>
      <w:pPr>
        <w:pStyle w:val="Normal"/>
        <w:widowContro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Univers (W1)">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o">
    <w:name w:val="To"/>
    <w:basedOn w:val="Normal"/>
    <w:qFormat/>
    <w:pPr/>
    <w:rPr>
      <w:rFonts w:ascii="Univers (W1)" w:hAnsi="Univers (W1)" w:cs="Univers (W1)"/>
      <w:sz w:val="36"/>
    </w:rPr>
  </w:style>
  <w:style w:type="paragraph" w:styleId="ToFax">
    <w:name w:val="ToFax"/>
    <w:basedOn w:val="Normal"/>
    <w:qFormat/>
    <w:pPr/>
    <w:rPr>
      <w:rFonts w:ascii="Univers (W1)" w:hAnsi="Univers (W1)" w:cs="Univers (W1)"/>
      <w:sz w:val="28"/>
    </w:rPr>
  </w:style>
  <w:style w:type="paragraph" w:styleId="From">
    <w:name w:val="From"/>
    <w:basedOn w:val="Normal"/>
    <w:qFormat/>
    <w:pPr>
      <w:spacing w:before="360" w:after="0"/>
    </w:pPr>
    <w:rPr>
      <w:rFonts w:ascii="Univers (W1)" w:hAnsi="Univers (W1)" w:cs="Univers (W1)"/>
      <w:sz w:val="36"/>
    </w:rPr>
  </w:style>
  <w:style w:type="paragraph" w:styleId="FromCompany">
    <w:name w:val="FromCompany"/>
    <w:basedOn w:val="Normal"/>
    <w:qFormat/>
    <w:pPr/>
    <w:rPr>
      <w:rFonts w:ascii="Univers (W1)" w:hAnsi="Univers (W1)" w:cs="Univers (W1)"/>
      <w:sz w:val="28"/>
    </w:rPr>
  </w:style>
  <w:style w:type="paragraph" w:styleId="FromPhone">
    <w:name w:val="FromPhone"/>
    <w:basedOn w:val="Normal"/>
    <w:qFormat/>
    <w:pPr/>
    <w:rPr>
      <w:rFonts w:ascii="Univers (W1)" w:hAnsi="Univers (W1)" w:cs="Univers (W1)"/>
      <w:sz w:val="28"/>
    </w:rPr>
  </w:style>
  <w:style w:type="paragraph" w:styleId="FromFax">
    <w:name w:val="FromFax"/>
    <w:basedOn w:val="Normal"/>
    <w:qFormat/>
    <w:pPr/>
    <w:rPr>
      <w:rFonts w:ascii="Univers (W1)" w:hAnsi="Univers (W1)" w:cs="Univers (W1)"/>
      <w:sz w:val="28"/>
    </w:rPr>
  </w:style>
  <w:style w:type="paragraph" w:styleId="Date">
    <w:name w:val="Date"/>
    <w:basedOn w:val="Normal"/>
    <w:qFormat/>
    <w:pPr>
      <w:spacing w:before="360" w:after="0"/>
    </w:pPr>
    <w:rPr>
      <w:rFonts w:ascii="Univers (W1)" w:hAnsi="Univers (W1)" w:cs="Univers (W1)"/>
      <w:sz w:val="28"/>
    </w:rPr>
  </w:style>
  <w:style w:type="paragraph" w:styleId="Pages">
    <w:name w:val="Pages"/>
    <w:basedOn w:val="Normal"/>
    <w:qFormat/>
    <w:pPr/>
    <w:rPr>
      <w:rFonts w:ascii="Univers (W1)" w:hAnsi="Univers (W1)" w:cs="Univers (W1)"/>
      <w:sz w:val="28"/>
    </w:rPr>
  </w:style>
  <w:style w:type="paragraph" w:styleId="ToPhone">
    <w:name w:val="ToPhone"/>
    <w:basedOn w:val="Normal"/>
    <w:qFormat/>
    <w:pPr/>
    <w:rPr>
      <w:rFonts w:ascii="Univers (W1)" w:hAnsi="Univers (W1)" w:cs="Univers (W1)"/>
      <w:sz w:val="28"/>
    </w:rPr>
  </w:style>
  <w:style w:type="paragraph" w:styleId="body">
    <w:name w:val="body"/>
    <w:basedOn w:val="Normal"/>
    <w:qFormat/>
    <w:pPr>
      <w:spacing w:before="480" w:after="480"/>
    </w:pPr>
    <w:rPr>
      <w:rFonts w:ascii="Arial" w:hAnsi="Arial" w:cs="Arial"/>
      <w:sz w:val="22"/>
    </w:rPr>
  </w:style>
  <w:style w:type="paragraph" w:styleId="BodyTextIndent">
    <w:name w:val="Body Text Indent"/>
    <w:basedOn w:val="Normal"/>
    <w:pPr>
      <w:widowControl/>
      <w:ind w:hanging="720" w:start="7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2000-12-12T12:46:00Z</dcterms:created>
  <dc:creator>ECT User</dc:creator>
  <dc:description/>
  <dc:language>en-CA</dc:language>
  <cp:lastModifiedBy>sanders</cp:lastModifiedBy>
  <cp:lastPrinted>2000-12-20T11:06:00Z</cp:lastPrinted>
  <dcterms:modified xsi:type="dcterms:W3CDTF">2000-12-20T14:55:00Z</dcterms:modified>
  <cp:revision>3</cp:revision>
  <dc:subject/>
  <dc:title>October 17, 1995</dc:title>
</cp:coreProperties>
</file>