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 w:val="false"/>
          <w:i/>
          <w:i/>
        </w:rPr>
      </w:pPr>
      <w:r>
        <w:rPr>
          <w:b w:val="false"/>
          <w:i/>
        </w:rPr>
        <w:t>NESA’s 2001 CALENDAR OF EVENTS</w:t>
      </w:r>
    </w:p>
    <w:p>
      <w:pPr>
        <w:pStyle w:val="Heading2"/>
        <w:ind w:hanging="0" w:start="0"/>
        <w:rPr>
          <w:b/>
          <w:i/>
          <w:i/>
        </w:rPr>
      </w:pPr>
      <w:r>
        <w:rPr>
          <w:b/>
          <w:i/>
        </w:rPr>
      </w:r>
    </w:p>
    <w:p>
      <w:pPr>
        <w:pStyle w:val="Heading2"/>
        <w:ind w:hanging="0" w:start="0"/>
        <w:rPr/>
      </w:pPr>
      <w:r>
        <w:rPr/>
        <w:t xml:space="preserve">For further information, please contact </w:t>
      </w:r>
      <w:r>
        <w:rPr>
          <w:i/>
        </w:rPr>
        <w:t>NESA</w:t>
      </w:r>
      <w:r>
        <w:rPr/>
        <w:t xml:space="preserve"> at (713) 856-6525</w:t>
      </w:r>
    </w:p>
    <w:p>
      <w:pPr>
        <w:pStyle w:val="Normal"/>
        <w:jc w:val="center"/>
        <w:rPr/>
      </w:pPr>
      <w:r>
        <w:rPr>
          <w:sz w:val="24"/>
        </w:rPr>
        <w:t xml:space="preserve">(All </w:t>
      </w:r>
      <w:r>
        <w:rPr>
          <w:b/>
          <w:sz w:val="24"/>
        </w:rPr>
        <w:t>Technical Training</w:t>
      </w:r>
      <w:r>
        <w:rPr>
          <w:sz w:val="24"/>
        </w:rPr>
        <w:t xml:space="preserve"> events are at Koch Industries, unless otherwise stated)</w:t>
      </w:r>
    </w:p>
    <w:p>
      <w:pPr>
        <w:pStyle w:val="Normal"/>
        <w:widowControl w:val="false"/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  <w:t>Jan 17</w:t>
        <w:tab/>
        <w:tab/>
        <w:tab/>
        <w:t>Review of FERC Order 637 Brown Bag</w:t>
      </w:r>
    </w:p>
    <w:p>
      <w:pPr>
        <w:pStyle w:val="Heading8"/>
        <w:tabs>
          <w:tab w:val="clear" w:pos="1080"/>
        </w:tabs>
        <w:spacing w:lineRule="auto" w:line="360"/>
        <w:rPr>
          <w:b/>
          <w:sz w:val="24"/>
        </w:rPr>
      </w:pPr>
      <w:r>
        <w:rPr>
          <w:b/>
          <w:sz w:val="24"/>
        </w:rPr>
        <w:t>Feb 6-7</w:t>
        <w:tab/>
        <w:tab/>
        <w:t>Gas Accounting</w:t>
      </w:r>
    </w:p>
    <w:p>
      <w:pPr>
        <w:pStyle w:val="Heading8"/>
        <w:tabs>
          <w:tab w:val="clear" w:pos="1080"/>
        </w:tabs>
        <w:spacing w:lineRule="auto" w:line="360"/>
        <w:ind w:hanging="720" w:start="1440" w:end="0"/>
        <w:rPr>
          <w:sz w:val="24"/>
        </w:rPr>
      </w:pPr>
      <w:r>
        <w:rPr>
          <w:sz w:val="24"/>
        </w:rPr>
        <w:t>Feb 16</w:t>
        <w:tab/>
        <w:tab/>
        <w:tab/>
        <w:t>Distributive Generation/Fuel Cells Brown Bag</w:t>
      </w:r>
    </w:p>
    <w:p>
      <w:pPr>
        <w:pStyle w:val="Heading8"/>
        <w:tabs>
          <w:tab w:val="clear" w:pos="1080"/>
        </w:tabs>
        <w:ind w:hanging="720" w:start="1440" w:end="0"/>
        <w:rPr>
          <w:b/>
          <w:sz w:val="24"/>
        </w:rPr>
      </w:pPr>
      <w:r>
        <w:rPr>
          <w:b/>
          <w:sz w:val="24"/>
        </w:rPr>
        <w:t>Mar 20-21</w:t>
        <w:tab/>
        <w:tab/>
        <w:t>Fundamentals of Electricity</w:t>
      </w:r>
    </w:p>
    <w:p>
      <w:pPr>
        <w:pStyle w:val="Heading8"/>
        <w:tabs>
          <w:tab w:val="clear" w:pos="1080"/>
        </w:tabs>
        <w:ind w:hanging="720" w:start="2880" w:end="0"/>
        <w:rPr>
          <w:b/>
          <w:sz w:val="24"/>
        </w:rPr>
      </w:pPr>
      <w:r>
        <w:rPr>
          <w:b/>
          <w:sz w:val="24"/>
        </w:rPr>
        <w:t>Basics of Risk Management</w:t>
      </w:r>
    </w:p>
    <w:p>
      <w:pPr>
        <w:pStyle w:val="Heading8"/>
        <w:tabs>
          <w:tab w:val="clear" w:pos="1080"/>
        </w:tabs>
        <w:ind w:hanging="720" w:start="2880" w:end="0"/>
        <w:rPr>
          <w:b/>
          <w:sz w:val="24"/>
        </w:rPr>
      </w:pPr>
      <w:r>
        <w:rPr>
          <w:b/>
          <w:sz w:val="24"/>
        </w:rPr>
        <w:t>Wellhead to Burnertip</w:t>
      </w:r>
    </w:p>
    <w:p>
      <w:pPr>
        <w:pStyle w:val="Heading8"/>
        <w:tabs>
          <w:tab w:val="clear" w:pos="1080"/>
        </w:tabs>
        <w:spacing w:lineRule="auto" w:line="360"/>
        <w:ind w:hanging="720" w:start="2880" w:end="0"/>
        <w:rPr>
          <w:sz w:val="24"/>
        </w:rPr>
      </w:pPr>
      <w:r>
        <w:rPr>
          <w:sz w:val="24"/>
        </w:rPr>
        <w:t>All at Hyatt Regency Houston-downtown</w:t>
      </w:r>
    </w:p>
    <w:p>
      <w:pPr>
        <w:pStyle w:val="Heading8"/>
        <w:tabs>
          <w:tab w:val="clear" w:pos="1080"/>
        </w:tabs>
        <w:spacing w:lineRule="auto" w:line="360"/>
        <w:rPr>
          <w:i/>
          <w:i/>
          <w:sz w:val="24"/>
        </w:rPr>
      </w:pPr>
      <w:r>
        <w:rPr>
          <w:i/>
          <w:sz w:val="24"/>
        </w:rPr>
        <w:t>Mar 20-22</w:t>
        <w:tab/>
        <w:tab/>
        <w:t xml:space="preserve">Houston Energy EXPO </w:t>
      </w:r>
    </w:p>
    <w:p>
      <w:pPr>
        <w:pStyle w:val="Heading8"/>
        <w:tabs>
          <w:tab w:val="clear" w:pos="1080"/>
        </w:tabs>
        <w:spacing w:lineRule="auto" w:line="360"/>
        <w:rPr>
          <w:b/>
          <w:sz w:val="24"/>
        </w:rPr>
      </w:pPr>
      <w:r>
        <w:rPr>
          <w:b/>
          <w:sz w:val="24"/>
        </w:rPr>
        <w:t>Apr 10-11</w:t>
        <w:tab/>
        <w:tab/>
        <w:t>Nominations thru Allocations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  <w:t>Apr 18</w:t>
        <w:tab/>
        <w:tab/>
        <w:tab/>
        <w:t>Processing 101/Processing Plant Tour Brown Bag</w:t>
      </w:r>
    </w:p>
    <w:p>
      <w:pPr>
        <w:pStyle w:val="Normal"/>
        <w:widowControl w:val="false"/>
        <w:spacing w:lineRule="auto" w:line="360"/>
        <w:ind w:start="720" w:end="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May 8-9</w:t>
        <w:tab/>
        <w:tab/>
        <w:t>Gas Accounting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  <w:t>May 17</w:t>
        <w:tab/>
        <w:tab/>
        <w:t>Power Generation – What’s Next? Brown Bag</w:t>
      </w:r>
    </w:p>
    <w:p>
      <w:pPr>
        <w:pStyle w:val="Normal"/>
        <w:widowControl w:val="false"/>
        <w:spacing w:lineRule="auto" w:line="360"/>
        <w:ind w:start="720" w:end="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Jun 5-6</w:t>
        <w:tab/>
        <w:tab/>
        <w:t>Fundamentals of Electricity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b/>
          <w:sz w:val="24"/>
          <w:lang w:eastAsia="en-US"/>
        </w:rPr>
        <w:t>Jun 7-8</w:t>
        <w:tab/>
        <w:tab/>
        <w:t>Basics of Risk Management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  <w:t>Jun 14</w:t>
        <w:tab/>
        <w:tab/>
        <w:tab/>
        <w:t>E-Business</w:t>
      </w:r>
    </w:p>
    <w:p>
      <w:pPr>
        <w:pStyle w:val="Normal"/>
        <w:widowControl w:val="false"/>
        <w:spacing w:lineRule="auto" w:line="360"/>
        <w:ind w:start="720" w:end="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Jul 10-11</w:t>
        <w:tab/>
        <w:tab/>
        <w:t>Wellhead to Burnertip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b/>
          <w:sz w:val="24"/>
          <w:lang w:eastAsia="en-US"/>
        </w:rPr>
        <w:t>Jul 12-13</w:t>
        <w:tab/>
        <w:tab/>
        <w:t>Nominations thru Allocations</w:t>
      </w:r>
    </w:p>
    <w:p>
      <w:pPr>
        <w:pStyle w:val="BodyTextIndent2"/>
        <w:rPr>
          <w:sz w:val="24"/>
        </w:rPr>
      </w:pPr>
      <w:r>
        <w:rPr>
          <w:sz w:val="24"/>
        </w:rPr>
        <w:t>Jul 18</w:t>
        <w:tab/>
        <w:t>Non-traditional Supply Sources (LNG, Coal-bed Methane, Trash Dumps) Brown Bag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spacing w:lineRule="auto" w:line="360"/>
        <w:ind w:start="720" w:end="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Aug 7-8</w:t>
        <w:tab/>
        <w:tab/>
        <w:t>Gas Accounting</w:t>
      </w:r>
    </w:p>
    <w:p>
      <w:pPr>
        <w:pStyle w:val="Heading8"/>
        <w:tabs>
          <w:tab w:val="clear" w:pos="1080"/>
        </w:tabs>
        <w:spacing w:lineRule="auto" w:line="360"/>
        <w:rPr>
          <w:sz w:val="24"/>
        </w:rPr>
      </w:pPr>
      <w:r>
        <w:rPr>
          <w:sz w:val="24"/>
        </w:rPr>
        <w:t>Aug 15</w:t>
        <w:tab/>
        <w:tab/>
        <w:tab/>
        <w:t>Ocean Star Museum Tour, Galveston, TX</w:t>
      </w:r>
    </w:p>
    <w:p>
      <w:pPr>
        <w:pStyle w:val="Normal"/>
        <w:widowControl w:val="false"/>
        <w:spacing w:lineRule="auto" w:line="360"/>
        <w:ind w:start="720" w:end="0"/>
        <w:rPr/>
      </w:pPr>
      <w:r>
        <w:rPr>
          <w:i/>
          <w:sz w:val="24"/>
          <w:lang w:eastAsia="en-US"/>
        </w:rPr>
        <w:t>Sep 8-10</w:t>
        <w:tab/>
        <w:tab/>
        <w:t>24</w:t>
      </w:r>
      <w:r>
        <w:rPr>
          <w:i/>
          <w:sz w:val="24"/>
          <w:vertAlign w:val="superscript"/>
          <w:lang w:eastAsia="en-US"/>
        </w:rPr>
        <w:t>th</w:t>
      </w:r>
      <w:r>
        <w:rPr>
          <w:i/>
          <w:sz w:val="24"/>
          <w:lang w:eastAsia="en-US"/>
        </w:rPr>
        <w:t xml:space="preserve"> Annual Meeting at Hyatt Hill Country, San Antonio, TX</w:t>
      </w:r>
    </w:p>
    <w:p>
      <w:pPr>
        <w:pStyle w:val="Normal"/>
        <w:widowControl w:val="false"/>
        <w:spacing w:lineRule="auto" w:line="360"/>
        <w:ind w:start="720" w:end="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Oct 9-10</w:t>
        <w:tab/>
        <w:tab/>
        <w:t>Fundamentals of Electricity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b/>
          <w:sz w:val="24"/>
          <w:lang w:eastAsia="en-US"/>
        </w:rPr>
        <w:t>Oct 11-12</w:t>
        <w:tab/>
        <w:tab/>
        <w:t>Basics of Risk Management</w:t>
      </w:r>
    </w:p>
    <w:p>
      <w:pPr>
        <w:pStyle w:val="Normal"/>
        <w:widowControl w:val="false"/>
        <w:spacing w:lineRule="auto" w:line="360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  <w:t>Oct 17</w:t>
        <w:tab/>
        <w:tab/>
        <w:tab/>
        <w:t>Storage Brown Bag</w:t>
      </w:r>
    </w:p>
    <w:p>
      <w:pPr>
        <w:pStyle w:val="Heading7"/>
        <w:widowControl w:val="false"/>
        <w:spacing w:lineRule="auto" w:line="360"/>
        <w:rPr>
          <w:b/>
          <w:lang w:eastAsia="en-US"/>
        </w:rPr>
      </w:pPr>
      <w:r>
        <w:rPr>
          <w:b/>
          <w:lang w:eastAsia="en-US"/>
        </w:rPr>
        <w:t>Nov 6-7</w:t>
        <w:tab/>
        <w:tab/>
        <w:t>Wellhead to Burnertip</w:t>
      </w:r>
    </w:p>
    <w:p>
      <w:pPr>
        <w:pStyle w:val="Normal"/>
        <w:widowControl w:val="false"/>
        <w:spacing w:lineRule="auto" w:line="360"/>
        <w:ind w:start="720" w:end="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Nov 8-9</w:t>
        <w:tab/>
        <w:tab/>
        <w:t>Nominations thru Allocations</w:t>
      </w:r>
    </w:p>
    <w:sectPr>
      <w:type w:val="nextPage"/>
      <w:pgSz w:w="12240" w:h="15840"/>
      <w:pgMar w:left="1152" w:right="1152" w:gutter="0" w:header="0" w:top="187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2" w:color="000000"/>
        <w:left w:val="single" w:sz="4" w:space="15" w:color="000000"/>
        <w:bottom w:val="single" w:sz="4" w:space="6" w:color="000000"/>
        <w:right w:val="single" w:sz="4" w:space="4" w:color="000000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clear" w:pos="360"/>
        <w:tab w:val="left" w:pos="1080" w:leader="none"/>
      </w:tabs>
      <w:ind w:hanging="0" w:start="720" w:end="0"/>
      <w:outlineLvl w:val="7"/>
    </w:pPr>
    <w:rPr>
      <w:sz w:val="28"/>
      <w:lang w:eastAsia="en-U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 w:val="false"/>
      <w:ind w:hanging="2880" w:start="3600" w:end="0"/>
    </w:pPr>
    <w:rPr>
      <w:sz w:val="28"/>
      <w:lang w:eastAsia="en-US"/>
    </w:rPr>
  </w:style>
  <w:style w:type="paragraph" w:styleId="BodyTextIndent2">
    <w:name w:val="Body Text Indent 2"/>
    <w:basedOn w:val="Normal"/>
    <w:qFormat/>
    <w:pPr>
      <w:widowControl w:val="false"/>
      <w:ind w:hanging="1440" w:start="2160" w:end="0"/>
    </w:pPr>
    <w:rPr>
      <w:sz w:val="28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2000-10-24T12:18:00Z</dcterms:created>
  <dc:creator>Todd Carroll</dc:creator>
  <dc:description/>
  <dc:language>en-CA</dc:language>
  <cp:lastModifiedBy>Todd Carroll</cp:lastModifiedBy>
  <cp:lastPrinted>2000-11-06T08:27:00Z</cp:lastPrinted>
  <dcterms:modified xsi:type="dcterms:W3CDTF">2000-11-06T12:10:00Z</dcterms:modified>
  <cp:revision>5</cp:revision>
  <dc:subject/>
  <dc:title>NESA FALL ’97 CALENDAR OF EVENTS</dc:title>
</cp:coreProperties>
</file>