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01.01.15 </w:t>
        <w:tab/>
        <w:t>Environmental Permitting/Approval Documents prepared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 Power I, LLC (“Caledonia”)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/>
      </w:pPr>
      <w:r>
        <w:rPr/>
        <w:t>and/or East Tennessee Natural Gas Company (as Transporter),Caledonia (as Contract Holder) and Enron Power Marketing (as Blanket Agent); Enron Corp. Guaranty for Caledonia in</w:t>
      </w:r>
    </w:p>
    <w:p>
      <w:pPr>
        <w:pStyle w:val="Normal"/>
        <w:ind w:firstLine="720" w:start="2880" w:end="0"/>
        <w:rPr/>
      </w:pPr>
      <w:r>
        <w:rPr/>
        <w:t>favor of Midwestern Gas dated effective 06/01/99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Extension letter for Enron Corp. Guaranty in favor of Midwestern Gas  dated 01/05/00 for extension of Guaranty to December 31, 2000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O.</w:t>
        <w:tab/>
        <w:t>Summer 2000 Transportation Agreement with Tennessee Gas for Caledonia, letter dated 05/03/00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Interruptible Gas Balancing Service Agreement-Hattiesburg and Caledonia dated 05/08/00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01.02.10</w:t>
        <w:tab/>
        <w:t>O&amp;M Agreement between Caledonia Power I, LLC and Operational Energy Corp. dated 05/20/99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Interconnection Study Agreement-Southern Company and ENA for Caledonia Interconnect dated 08/15/00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Enron Application for Interconnection Study for interconnect between Southern Company and Caledonia dated 07/11/00, 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TVA and ENA correspondence re: proposed Southern interconnect (letters dated 04/24/00 and 07/03/00, respectively)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Assignment of Option for Cantrell Tract from Caledonia to ECT dated effective 12/17/98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Notice of Exercise of Option for Cantrell Tract by ECT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 xml:space="preserve">(iii) </w:t>
        <w:tab/>
        <w:tab/>
        <w:t>Deed dated 10_17_00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 (Vol I &amp; II)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 (Vol I &amp; II)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Heading2"/>
        <w:ind w:start="3600" w:end="0"/>
        <w:rPr/>
      </w:pPr>
      <w:r>
        <w:rPr/>
        <w:t>Company for Caledonia Power Project Gas Turbine</w:t>
      </w:r>
      <w:r>
        <w:rPr>
          <w:i w:val="false"/>
        </w:rPr>
        <w:t>Generator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2"/>
          <w:numId w:val="6"/>
        </w:numPr>
        <w:rPr/>
      </w:pPr>
      <w:r>
        <w:rPr/>
        <w:t>Industrial Power Contract (“IPC”)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IPC-Monroe County Electric Power Assoc. and Caledonia dated 05/01/00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Power Supply Contract-Monroe County Electric Power Assoc. and Caledonia dated 04/29/00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01.07.02.01</w:t>
        <w:tab/>
        <w:t>Property Tax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B.    </w:t>
        <w:tab/>
        <w:t>State of Mississippi Permit to Construct (No. 1680-00050) as modified 06/09/00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Federal Energy Regulatory Commission (FERC)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FERC-Determination of Exempt Wholesale Generator status for Caledonia dated 04/15/99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FERC-Order Granting Market Based Rates for Caledonia dated 01/19/00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02.05.07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02.05.07.02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04.01.02</w:t>
        <w:tab/>
        <w:tab/>
        <w:t>Performance Test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A </w:t>
        <w:tab/>
        <w:t>CTG unit 1 Performance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 xml:space="preserve">B </w:t>
        <w:tab/>
        <w:t>CTG unit 2 Performance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 xml:space="preserve">C </w:t>
        <w:tab/>
        <w:t>CTG unit 3 Performance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 xml:space="preserve">D </w:t>
        <w:tab/>
        <w:t>CTG unit 4 Performance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 xml:space="preserve">E </w:t>
        <w:tab/>
        <w:t>CTG unit 5 Performance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Emissions Test Report and Data Gathered During Performance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</w:t>
        <w:tab/>
        <w:t>Operator's Monthly Reports (June/July/Aug)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</w:t>
        <w:tab/>
        <w:t>Operator's Monthly Reports (Sep)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Relative Accuracy Testing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 [See physical file.]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turbines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05.11</w:t>
        <w:tab/>
        <w:t>Uniforms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05.12</w:t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One Line Construction Drawings and Plot Plans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Caledonia, Lowdnes County, Mississippi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4320" w:end="0"/>
      <w:outlineLvl w:val="1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2000-11-08T20:30:00Z</dcterms:created>
  <dc:creator>Jon Hoff</dc:creator>
  <dc:description/>
  <dc:language>en-CA</dc:language>
  <cp:lastModifiedBy>Ben Rogers</cp:lastModifiedBy>
  <cp:lastPrinted>2000-09-15T20:20:00Z</cp:lastPrinted>
  <dcterms:modified xsi:type="dcterms:W3CDTF">2000-11-08T20:30:00Z</dcterms:modified>
  <cp:revision>2</cp:revision>
  <dc:subject/>
  <dc:title>01</dc:title>
</cp:coreProperties>
</file>