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rPr>
      </w:pPr>
      <w:r>
        <w:rPr>
          <w:rFonts w:cs="Arial" w:ascii="Arial" w:hAnsi="Arial"/>
          <w:sz w:val="28"/>
        </w:rPr>
        <w:t>Calculation of Gross Sales for use in default computations: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Schedule 2 of PX Tariff 1, Section 5.3: PX Core Market Proportional Charge-Back Methodology:</w:t>
      </w:r>
    </w:p>
    <w:p>
      <w:pPr>
        <w:pStyle w:val="Normal"/>
        <w:rPr>
          <w:rFonts w:ascii="Arial" w:hAnsi="Arial" w:cs="Arial"/>
          <w:sz w:val="22"/>
        </w:rPr>
      </w:pPr>
      <w:r>
        <w:rPr>
          <w:rFonts w:cs="Arial" w:ascii="Arial" w:hAnsi="Arial"/>
          <w:sz w:val="22"/>
        </w:rPr>
      </w:r>
    </w:p>
    <w:p>
      <w:pPr>
        <w:pStyle w:val="BodyTextIndent"/>
        <w:rPr/>
      </w:pPr>
      <w:r>
        <w:rPr/>
        <w:t>The PX Participant’s outstanding default amount will be charged back to all current PX Participants based upon the percentage of its gross sales in MWhs to the total gross MWhs sales in the Core market during the three calendar months preceding the event plus the current month-to-date.</w:t>
      </w:r>
    </w:p>
    <w:p>
      <w:pPr>
        <w:pStyle w:val="Normal"/>
        <w:ind w:start="72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PX Implementation for default on December 2000 Forward Market Invoice:</w:t>
      </w:r>
    </w:p>
    <w:p>
      <w:pPr>
        <w:pStyle w:val="Normal"/>
        <w:rPr>
          <w:rFonts w:ascii="Arial" w:hAnsi="Arial" w:cs="Arial"/>
          <w:sz w:val="22"/>
        </w:rPr>
      </w:pPr>
      <w:r>
        <w:rPr>
          <w:rFonts w:cs="Arial" w:ascii="Arial" w:hAnsi="Arial"/>
          <w:sz w:val="22"/>
        </w:rPr>
      </w:r>
    </w:p>
    <w:p>
      <w:pPr>
        <w:pStyle w:val="Normal"/>
        <w:numPr>
          <w:ilvl w:val="0"/>
          <w:numId w:val="1"/>
        </w:numPr>
        <w:tabs>
          <w:tab w:val="clear" w:pos="720"/>
          <w:tab w:val="left" w:pos="1080" w:leader="none"/>
        </w:tabs>
        <w:ind w:hanging="360" w:start="1080" w:end="0"/>
        <w:rPr>
          <w:rFonts w:ascii="Arial" w:hAnsi="Arial" w:cs="Arial"/>
          <w:sz w:val="22"/>
        </w:rPr>
      </w:pPr>
      <w:r>
        <w:rPr>
          <w:rFonts w:cs="Arial" w:ascii="Arial" w:hAnsi="Arial"/>
          <w:sz w:val="22"/>
        </w:rPr>
        <w:t>Invoice issued on 1/9/01</w:t>
      </w:r>
    </w:p>
    <w:p>
      <w:pPr>
        <w:pStyle w:val="Normal"/>
        <w:numPr>
          <w:ilvl w:val="0"/>
          <w:numId w:val="1"/>
        </w:numPr>
        <w:tabs>
          <w:tab w:val="clear" w:pos="720"/>
          <w:tab w:val="left" w:pos="1080" w:leader="none"/>
        </w:tabs>
        <w:ind w:hanging="360" w:start="1080" w:end="0"/>
        <w:rPr>
          <w:rFonts w:ascii="Arial" w:hAnsi="Arial" w:cs="Arial"/>
          <w:sz w:val="22"/>
        </w:rPr>
      </w:pPr>
      <w:r>
        <w:rPr>
          <w:rFonts w:cs="Arial" w:ascii="Arial" w:hAnsi="Arial"/>
          <w:sz w:val="22"/>
        </w:rPr>
        <w:t>3-month period = 10/1/00 – 12\31\00</w:t>
      </w:r>
    </w:p>
    <w:p>
      <w:pPr>
        <w:pStyle w:val="Normal"/>
        <w:numPr>
          <w:ilvl w:val="0"/>
          <w:numId w:val="1"/>
        </w:numPr>
        <w:tabs>
          <w:tab w:val="clear" w:pos="720"/>
          <w:tab w:val="left" w:pos="1080" w:leader="none"/>
        </w:tabs>
        <w:ind w:hanging="360" w:start="1080" w:end="0"/>
        <w:rPr>
          <w:rFonts w:ascii="Arial" w:hAnsi="Arial" w:cs="Arial"/>
          <w:sz w:val="22"/>
        </w:rPr>
      </w:pPr>
      <w:r>
        <w:rPr>
          <w:rFonts w:cs="Arial" w:ascii="Arial" w:hAnsi="Arial"/>
          <w:sz w:val="22"/>
        </w:rPr>
        <w:t>plus January to date</w:t>
      </w:r>
    </w:p>
    <w:p>
      <w:pPr>
        <w:pStyle w:val="Normal"/>
        <w:numPr>
          <w:ilvl w:val="0"/>
          <w:numId w:val="1"/>
        </w:numPr>
        <w:tabs>
          <w:tab w:val="clear" w:pos="720"/>
          <w:tab w:val="left" w:pos="1080" w:leader="none"/>
        </w:tabs>
        <w:ind w:hanging="360" w:start="1080" w:end="0"/>
        <w:rPr>
          <w:rFonts w:ascii="Arial" w:hAnsi="Arial" w:cs="Arial"/>
          <w:sz w:val="22"/>
        </w:rPr>
      </w:pPr>
      <w:r>
        <w:rPr>
          <w:rFonts w:cs="Arial" w:ascii="Arial" w:hAnsi="Arial"/>
          <w:sz w:val="22"/>
        </w:rPr>
        <w:t>Settlement statements utilized include everything processed as of 1/9/01</w:t>
      </w:r>
    </w:p>
    <w:p>
      <w:pPr>
        <w:pStyle w:val="Normal"/>
        <w:numPr>
          <w:ilvl w:val="0"/>
          <w:numId w:val="1"/>
        </w:numPr>
        <w:tabs>
          <w:tab w:val="clear" w:pos="720"/>
          <w:tab w:val="left" w:pos="1440" w:leader="none"/>
        </w:tabs>
        <w:ind w:hanging="360" w:start="1440" w:end="0"/>
        <w:rPr>
          <w:rFonts w:ascii="Arial" w:hAnsi="Arial" w:cs="Arial"/>
          <w:sz w:val="22"/>
        </w:rPr>
      </w:pPr>
      <w:r>
        <w:rPr>
          <w:rFonts w:cs="Arial" w:ascii="Arial" w:hAnsi="Arial"/>
          <w:sz w:val="22"/>
        </w:rPr>
        <w:t>October RT final 10/1/00 – 10/23/00</w:t>
      </w:r>
    </w:p>
    <w:p>
      <w:pPr>
        <w:pStyle w:val="Normal"/>
        <w:numPr>
          <w:ilvl w:val="0"/>
          <w:numId w:val="1"/>
        </w:numPr>
        <w:tabs>
          <w:tab w:val="clear" w:pos="720"/>
          <w:tab w:val="left" w:pos="1440" w:leader="none"/>
        </w:tabs>
        <w:ind w:hanging="360" w:start="1440" w:end="0"/>
        <w:rPr>
          <w:rFonts w:ascii="Arial" w:hAnsi="Arial" w:cs="Arial"/>
          <w:sz w:val="22"/>
        </w:rPr>
      </w:pPr>
      <w:r>
        <w:rPr>
          <w:rFonts w:cs="Arial" w:ascii="Arial" w:hAnsi="Arial"/>
          <w:sz w:val="22"/>
        </w:rPr>
        <w:t>October RT prelim 10/24/00 – 11/9/00</w:t>
      </w:r>
    </w:p>
    <w:p>
      <w:pPr>
        <w:pStyle w:val="Normal"/>
        <w:numPr>
          <w:ilvl w:val="0"/>
          <w:numId w:val="1"/>
        </w:numPr>
        <w:tabs>
          <w:tab w:val="clear" w:pos="720"/>
          <w:tab w:val="left" w:pos="1440" w:leader="none"/>
        </w:tabs>
        <w:ind w:hanging="360" w:start="1440" w:end="0"/>
        <w:rPr>
          <w:rFonts w:ascii="Arial" w:hAnsi="Arial" w:cs="Arial"/>
          <w:sz w:val="22"/>
        </w:rPr>
      </w:pPr>
      <w:r>
        <w:rPr>
          <w:rFonts w:cs="Arial" w:ascii="Arial" w:hAnsi="Arial"/>
          <w:sz w:val="22"/>
        </w:rPr>
        <w:t>DA/DO finals 10/1/00 – 1/2/01</w:t>
      </w:r>
    </w:p>
    <w:p>
      <w:pPr>
        <w:pStyle w:val="Normal"/>
        <w:numPr>
          <w:ilvl w:val="0"/>
          <w:numId w:val="1"/>
        </w:numPr>
        <w:tabs>
          <w:tab w:val="clear" w:pos="720"/>
          <w:tab w:val="left" w:pos="1440" w:leader="none"/>
        </w:tabs>
        <w:ind w:hanging="360" w:start="1440" w:end="0"/>
        <w:rPr>
          <w:rFonts w:ascii="Arial" w:hAnsi="Arial" w:cs="Arial"/>
          <w:sz w:val="22"/>
        </w:rPr>
      </w:pPr>
      <w:r>
        <w:rPr>
          <w:rFonts w:cs="Arial" w:ascii="Arial" w:hAnsi="Arial"/>
          <w:sz w:val="22"/>
        </w:rPr>
        <w:t>DA/DO prelim 1/3/01 – 1/7/01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Gross Sales include the following:</w:t>
      </w:r>
    </w:p>
    <w:p>
      <w:pPr>
        <w:pStyle w:val="Normal"/>
        <w:rPr>
          <w:rFonts w:ascii="Arial" w:hAnsi="Arial" w:cs="Arial"/>
          <w:sz w:val="22"/>
        </w:rPr>
      </w:pPr>
      <w:r>
        <w:rPr>
          <w:rFonts w:cs="Arial" w:ascii="Arial" w:hAnsi="Arial"/>
          <w:sz w:val="22"/>
        </w:rPr>
      </w:r>
    </w:p>
    <w:p>
      <w:pPr>
        <w:pStyle w:val="Normal"/>
        <w:numPr>
          <w:ilvl w:val="0"/>
          <w:numId w:val="2"/>
        </w:numPr>
        <w:tabs>
          <w:tab w:val="clear" w:pos="720"/>
          <w:tab w:val="left" w:pos="1080" w:leader="none"/>
        </w:tabs>
        <w:ind w:hanging="360" w:start="1080" w:end="0"/>
        <w:rPr>
          <w:rFonts w:ascii="Arial" w:hAnsi="Arial" w:cs="Arial"/>
          <w:sz w:val="22"/>
        </w:rPr>
      </w:pPr>
      <w:r>
        <w:rPr>
          <w:rFonts w:cs="Arial" w:ascii="Arial" w:hAnsi="Arial"/>
          <w:sz w:val="22"/>
        </w:rPr>
        <w:t>DA generation, import, transfer-in mwh</w:t>
      </w:r>
    </w:p>
    <w:p>
      <w:pPr>
        <w:pStyle w:val="Normal"/>
        <w:numPr>
          <w:ilvl w:val="0"/>
          <w:numId w:val="2"/>
        </w:numPr>
        <w:tabs>
          <w:tab w:val="clear" w:pos="720"/>
          <w:tab w:val="left" w:pos="1080" w:leader="none"/>
        </w:tabs>
        <w:ind w:hanging="360" w:start="1080" w:end="0"/>
        <w:rPr>
          <w:rFonts w:ascii="Arial" w:hAnsi="Arial" w:cs="Arial"/>
          <w:sz w:val="22"/>
        </w:rPr>
      </w:pPr>
      <w:r>
        <w:rPr>
          <w:rFonts w:cs="Arial" w:ascii="Arial" w:hAnsi="Arial"/>
          <w:sz w:val="22"/>
        </w:rPr>
        <w:t>DO positive increments for generation, import, transfer-in mwh</w:t>
      </w:r>
    </w:p>
    <w:p>
      <w:pPr>
        <w:pStyle w:val="Normal"/>
        <w:numPr>
          <w:ilvl w:val="0"/>
          <w:numId w:val="2"/>
        </w:numPr>
        <w:tabs>
          <w:tab w:val="clear" w:pos="720"/>
          <w:tab w:val="left" w:pos="1080" w:leader="none"/>
        </w:tabs>
        <w:ind w:hanging="360" w:start="1080" w:end="0"/>
        <w:rPr>
          <w:rFonts w:ascii="Arial" w:hAnsi="Arial" w:cs="Arial"/>
          <w:sz w:val="22"/>
        </w:rPr>
      </w:pPr>
      <w:r>
        <w:rPr>
          <w:rFonts w:cs="Arial" w:ascii="Arial" w:hAnsi="Arial"/>
          <w:sz w:val="22"/>
        </w:rPr>
        <w:t>Ancillary services ISO charge types 1 – 56, 302, 451</w:t>
      </w:r>
    </w:p>
    <w:p>
      <w:pPr>
        <w:pStyle w:val="Normal"/>
        <w:numPr>
          <w:ilvl w:val="0"/>
          <w:numId w:val="2"/>
        </w:numPr>
        <w:tabs>
          <w:tab w:val="clear" w:pos="720"/>
          <w:tab w:val="left" w:pos="1080" w:leader="none"/>
        </w:tabs>
        <w:ind w:hanging="360" w:start="1080" w:end="0"/>
        <w:rPr>
          <w:rFonts w:ascii="Arial" w:hAnsi="Arial" w:cs="Arial"/>
          <w:sz w:val="22"/>
        </w:rPr>
      </w:pPr>
      <w:r>
        <w:rPr>
          <w:rFonts w:cs="Arial" w:ascii="Arial" w:hAnsi="Arial"/>
          <w:sz w:val="22"/>
        </w:rPr>
        <w:t>Imbalance Energy ISO charge types 401, 407—based on participant IE reports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Computations for Imbalance Energy from the participant IE reports:</w:t>
      </w:r>
    </w:p>
    <w:p>
      <w:pPr>
        <w:pStyle w:val="Normal"/>
        <w:rPr>
          <w:rFonts w:ascii="Arial" w:hAnsi="Arial" w:cs="Arial"/>
          <w:sz w:val="22"/>
        </w:rPr>
      </w:pPr>
      <w:r>
        <w:rPr>
          <w:rFonts w:cs="Arial" w:ascii="Arial" w:hAnsi="Arial"/>
          <w:sz w:val="22"/>
        </w:rPr>
      </w:r>
    </w:p>
    <w:p>
      <w:pPr>
        <w:pStyle w:val="Normal"/>
        <w:spacing w:lineRule="atLeast" w:line="240"/>
        <w:ind w:hanging="879" w:start="1599" w:end="0"/>
        <w:rPr/>
      </w:pPr>
      <w:r>
        <w:rPr>
          <w:rFonts w:cs="Arial" w:ascii="Arial" w:hAnsi="Arial"/>
          <w:sz w:val="24"/>
        </w:rPr>
        <w:t xml:space="preserve">Generation: </w:t>
        <w:tab/>
      </w:r>
      <w:r>
        <w:rPr>
          <w:rFonts w:cs="Arial" w:ascii="Arial" w:hAnsi="Arial"/>
          <w:color w:val="000000"/>
          <w:sz w:val="16"/>
        </w:rPr>
        <w:t>max (0, (( M + RIE + RE) - (S + ESE</w:t>
      </w:r>
      <w:r>
        <w:rPr>
          <w:rFonts w:cs="Arial" w:ascii="Arial" w:hAnsi="Arial"/>
          <w:color w:val="000000"/>
          <w:sz w:val="16"/>
          <w:vertAlign w:val="superscript"/>
        </w:rPr>
        <w:t>+</w:t>
      </w:r>
      <w:r>
        <w:rPr>
          <w:rFonts w:cs="Arial" w:ascii="Arial" w:hAnsi="Arial"/>
          <w:color w:val="000000"/>
          <w:sz w:val="16"/>
        </w:rPr>
        <w:t xml:space="preserve"> + ESE</w:t>
      </w:r>
      <w:r>
        <w:rPr>
          <w:rFonts w:cs="Arial" w:ascii="Arial" w:hAnsi="Arial"/>
          <w:color w:val="000000"/>
          <w:sz w:val="32"/>
          <w:vertAlign w:val="superscript"/>
        </w:rPr>
        <w:t>-</w:t>
      </w:r>
      <w:r>
        <w:rPr>
          <w:rFonts w:cs="Arial" w:ascii="Arial" w:hAnsi="Arial"/>
          <w:color w:val="000000"/>
          <w:sz w:val="16"/>
        </w:rPr>
        <w:t xml:space="preserve"> + ESR + ENS + ERR + OOS</w:t>
      </w:r>
      <w:r>
        <w:rPr>
          <w:rFonts w:cs="Arial" w:ascii="Arial" w:hAnsi="Arial"/>
          <w:color w:val="000000"/>
          <w:sz w:val="16"/>
          <w:vertAlign w:val="superscript"/>
        </w:rPr>
        <w:t>+</w:t>
      </w:r>
      <w:r>
        <w:rPr>
          <w:rFonts w:cs="Arial" w:ascii="Arial" w:hAnsi="Arial"/>
          <w:color w:val="000000"/>
          <w:sz w:val="16"/>
        </w:rPr>
        <w:t xml:space="preserve"> + OOS</w:t>
      </w:r>
      <w:r>
        <w:rPr>
          <w:rFonts w:cs="Arial" w:ascii="Arial" w:hAnsi="Arial"/>
          <w:color w:val="000000"/>
          <w:sz w:val="32"/>
          <w:vertAlign w:val="superscript"/>
        </w:rPr>
        <w:t xml:space="preserve">- </w:t>
      </w:r>
      <w:r>
        <w:rPr>
          <w:rFonts w:cs="Arial" w:ascii="Arial" w:hAnsi="Arial"/>
          <w:color w:val="000000"/>
          <w:sz w:val="16"/>
        </w:rPr>
        <w:t xml:space="preserve">))) </w:t>
      </w:r>
    </w:p>
    <w:p>
      <w:pPr>
        <w:pStyle w:val="Normal"/>
        <w:spacing w:lineRule="atLeast" w:line="240"/>
        <w:ind w:hanging="879" w:start="1599" w:end="0"/>
        <w:rPr/>
      </w:pPr>
      <w:r>
        <w:rPr>
          <w:rFonts w:cs="Arial" w:ascii="Arial" w:hAnsi="Arial"/>
          <w:sz w:val="24"/>
        </w:rPr>
        <w:t xml:space="preserve">Import: </w:t>
        <w:tab/>
        <w:tab/>
      </w:r>
      <w:r>
        <w:rPr>
          <w:rFonts w:cs="Arial" w:ascii="Arial" w:hAnsi="Arial"/>
          <w:color w:val="000000"/>
          <w:sz w:val="16"/>
        </w:rPr>
        <w:t>max (0, OA)</w:t>
      </w:r>
    </w:p>
    <w:p>
      <w:pPr>
        <w:pStyle w:val="Normal"/>
        <w:ind w:hanging="1440" w:start="2160" w:end="0"/>
        <w:rPr/>
      </w:pPr>
      <w:r>
        <w:rPr>
          <w:rFonts w:cs="Arial" w:ascii="Arial" w:hAnsi="Arial"/>
          <w:sz w:val="24"/>
        </w:rPr>
        <w:t>Load:</w:t>
      </w:r>
      <w:r>
        <w:rPr>
          <w:rFonts w:cs="Arial" w:ascii="Arial" w:hAnsi="Arial"/>
          <w:color w:val="000000"/>
          <w:sz w:val="16"/>
        </w:rPr>
        <w:t xml:space="preserve"> </w:t>
        <w:tab/>
        <w:t>max (0, (( S + ESE</w:t>
      </w:r>
      <w:r>
        <w:rPr>
          <w:rFonts w:cs="Arial" w:ascii="Arial" w:hAnsi="Arial"/>
          <w:color w:val="000000"/>
          <w:sz w:val="16"/>
          <w:vertAlign w:val="superscript"/>
        </w:rPr>
        <w:t>+</w:t>
      </w:r>
      <w:r>
        <w:rPr>
          <w:rFonts w:cs="Arial" w:ascii="Arial" w:hAnsi="Arial"/>
          <w:color w:val="000000"/>
          <w:sz w:val="16"/>
        </w:rPr>
        <w:t xml:space="preserve"> + ESE</w:t>
      </w:r>
      <w:r>
        <w:rPr>
          <w:rFonts w:cs="Arial" w:ascii="Arial" w:hAnsi="Arial"/>
          <w:color w:val="000000"/>
          <w:sz w:val="32"/>
          <w:vertAlign w:val="superscript"/>
        </w:rPr>
        <w:t>-</w:t>
      </w:r>
      <w:r>
        <w:rPr>
          <w:rFonts w:cs="Arial" w:ascii="Arial" w:hAnsi="Arial"/>
          <w:color w:val="000000"/>
          <w:sz w:val="16"/>
        </w:rPr>
        <w:t xml:space="preserve"> + ESR + ENS + ERR + OOS</w:t>
      </w:r>
      <w:r>
        <w:rPr>
          <w:rFonts w:cs="Arial" w:ascii="Arial" w:hAnsi="Arial"/>
          <w:color w:val="000000"/>
          <w:sz w:val="16"/>
          <w:vertAlign w:val="superscript"/>
        </w:rPr>
        <w:t>+</w:t>
      </w:r>
      <w:r>
        <w:rPr>
          <w:rFonts w:cs="Arial" w:ascii="Arial" w:hAnsi="Arial"/>
          <w:color w:val="000000"/>
          <w:sz w:val="16"/>
        </w:rPr>
        <w:t xml:space="preserve"> + OOS</w:t>
      </w:r>
      <w:r>
        <w:rPr>
          <w:rFonts w:cs="Arial" w:ascii="Arial" w:hAnsi="Arial"/>
          <w:color w:val="000000"/>
          <w:sz w:val="32"/>
          <w:vertAlign w:val="superscript"/>
        </w:rPr>
        <w:t>-</w:t>
      </w:r>
      <w:r>
        <w:rPr>
          <w:rFonts w:cs="Arial" w:ascii="Arial" w:hAnsi="Arial"/>
          <w:color w:val="000000"/>
          <w:sz w:val="16"/>
        </w:rPr>
        <w:t>) - (M + RIE + RE)))</w:t>
      </w:r>
    </w:p>
    <w:p>
      <w:pPr>
        <w:pStyle w:val="Normal"/>
        <w:ind w:hanging="1440" w:start="2160" w:end="0"/>
        <w:rPr>
          <w:rFonts w:ascii="Arial" w:hAnsi="Arial" w:cs="Arial"/>
          <w:sz w:val="28"/>
        </w:rPr>
      </w:pPr>
      <w:r>
        <w:rPr>
          <w:rFonts w:cs="Arial" w:ascii="Arial" w:hAnsi="Arial"/>
          <w:sz w:val="24"/>
        </w:rPr>
        <w:t>Export:</w:t>
        <w:tab/>
      </w:r>
      <w:r>
        <w:rPr>
          <w:rFonts w:cs="Arial" w:ascii="Arial" w:hAnsi="Arial"/>
          <w:color w:val="000000"/>
          <w:sz w:val="16"/>
        </w:rPr>
        <w:t>max (0, OA)</w:t>
      </w:r>
    </w:p>
    <w:p>
      <w:pPr>
        <w:pStyle w:val="Normal"/>
        <w:ind w:start="720" w:end="0"/>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rPr>
    </w:pPr>
    <w:r>
      <w:rPr>
        <w:rFonts w:cs="Arial" w:ascii="Arial" w:hAnsi="Arial"/>
        <w:lang w:eastAsia="en-US"/>
      </w:rPr>
      <w:fldChar w:fldCharType="begin"/>
    </w:r>
    <w:r>
      <w:rPr>
        <w:rFonts w:cs="Arial" w:ascii="Arial" w:hAnsi="Arial"/>
        <w:lang w:eastAsia="en-US"/>
      </w:rPr>
      <w:instrText xml:space="preserve"> FILENAME \p </w:instrText>
    </w:r>
    <w:r>
      <w:rPr>
        <w:rFonts w:cs="Arial" w:ascii="Arial" w:hAnsi="Arial"/>
        <w:lang w:eastAsia="en-US"/>
      </w:rPr>
      <w:fldChar w:fldCharType="separate"/>
    </w:r>
    <w:r>
      <w:rPr>
        <w:rFonts w:cs="Arial" w:ascii="Arial" w:hAnsi="Arial"/>
        <w:lang w:eastAsia="en-US"/>
      </w:rPr>
      <w:t>/mnt/main-storage/datasets/enron-docs/doc/Calculation_of_Gross_Sales_for_use_in_default_computations.doc</w:t>
    </w:r>
    <w:r>
      <w:rPr>
        <w:rFonts w:cs="Arial" w:ascii="Arial" w:hAnsi="Arial"/>
        <w:lang w:eastAsia="en-US"/>
      </w:rPr>
      <w:fldChar w:fldCharType="end"/>
    </w:r>
  </w:p>
  <w:p>
    <w:pPr>
      <w:pStyle w:val="Footer"/>
      <w:rPr>
        <w:rFonts w:ascii="Arial" w:hAnsi="Arial" w:cs="Arial"/>
      </w:rPr>
    </w:pPr>
    <w:r>
      <w:rPr>
        <w:rFonts w:cs="Arial" w:ascii="Arial" w:hAnsi="Arial"/>
      </w:rPr>
      <w:fldChar w:fldCharType="begin"/>
    </w:r>
    <w:r>
      <w:rPr>
        <w:rFonts w:cs="Arial" w:ascii="Arial" w:hAnsi="Arial"/>
      </w:rPr>
      <w:instrText xml:space="preserve"> DATE \@"MM\/dd\/yy" </w:instrText>
    </w:r>
    <w:r>
      <w:rPr>
        <w:rFonts w:cs="Arial" w:ascii="Arial" w:hAnsi="Arial"/>
      </w:rPr>
      <w:fldChar w:fldCharType="separate"/>
    </w:r>
    <w:r>
      <w:rPr>
        <w:rFonts w:cs="Arial" w:ascii="Arial" w:hAnsi="Arial"/>
      </w:rPr>
      <w:t>09/28/25</w:t>
    </w:r>
    <w:r>
      <w:rPr>
        <w:rFonts w:cs="Arial" w:ascii="Arial" w:hAnsi="Arial"/>
      </w:rPr>
      <w:fldChar w:fldCharType="end"/>
    </w:r>
    <w:r>
      <w:rPr>
        <w:rFonts w:cs="Arial" w:ascii="Arial" w:hAnsi="Arial"/>
      </w:rPr>
      <w:t xml:space="preserve">, </w:t>
    </w:r>
    <w:r>
      <w:rPr>
        <w:rFonts w:cs="Arial" w:ascii="Arial" w:hAnsi="Arial"/>
      </w:rPr>
      <w:fldChar w:fldCharType="begin"/>
    </w:r>
    <w:r>
      <w:rPr>
        <w:rFonts w:cs="Arial" w:ascii="Arial" w:hAnsi="Arial"/>
      </w:rPr>
      <w:instrText xml:space="preserve"> TIME \@"H:mm\ AM/PM" </w:instrText>
    </w:r>
    <w:r>
      <w:rPr>
        <w:rFonts w:cs="Arial" w:ascii="Arial" w:hAnsi="Arial"/>
      </w:rPr>
      <w:fldChar w:fldCharType="separate"/>
    </w:r>
    <w:r>
      <w:rPr>
        <w:rFonts w:cs="Arial" w:ascii="Arial" w:hAnsi="Arial"/>
      </w:rPr>
      <w:t>8:20 AM</w:t>
    </w:r>
    <w:r>
      <w:rPr>
        <w:rFonts w:cs="Arial" w:ascii="Arial" w:hAnsi="Arial"/>
      </w:rPr>
      <w:fldChar w:fldCharType="end"/>
    </w:r>
  </w:p>
  <w:p>
    <w:pPr>
      <w:pStyle w:val="Footer"/>
      <w:rPr>
        <w:rFonts w:ascii="Arial" w:hAnsi="Arial" w:cs="Arial"/>
      </w:rPr>
    </w:pPr>
    <w:r>
      <w:rPr>
        <w:rFonts w:cs="Arial" w:ascii="Arial" w:hAnsi="Arial"/>
      </w:rPr>
      <w:t>Finance Department</w:t>
    </w:r>
  </w:p>
  <w:p>
    <w:pPr>
      <w:pStyle w:val="Footer"/>
      <w:rPr>
        <w:rFonts w:ascii="Arial" w:hAnsi="Arial" w:cs="Arial"/>
      </w:rPr>
    </w:pPr>
    <w:r>
      <w:rPr>
        <w:rFonts w:cs="Arial" w:ascii="Arial" w:hAnsi="Arial"/>
      </w:rPr>
      <w:t>Prepared by R. Axelrad</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2001-01-19T15:26:00Z</dcterms:created>
  <dc:creator>RAxelrad</dc:creator>
  <dc:description/>
  <dc:language>en-CA</dc:language>
  <cp:lastModifiedBy>bhunsuc</cp:lastModifiedBy>
  <cp:lastPrinted>2001-01-17T15:48:00Z</cp:lastPrinted>
  <dcterms:modified xsi:type="dcterms:W3CDTF">2001-01-19T15:26:00Z</dcterms:modified>
  <cp:revision>2</cp:revision>
  <dc:subject/>
  <dc:title>Calculation of Gross Sales for use in default computations:</dc:title>
</cp:coreProperties>
</file>