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Sample Calculations for a Discount to Index Structure</w:t>
      </w:r>
    </w:p>
    <w:p>
      <w:pPr>
        <w:pStyle w:val="Normal"/>
        <w:rPr>
          <w:sz w:val="24"/>
        </w:rPr>
      </w:pPr>
      <w:r>
        <w:rPr>
          <w:sz w:val="24"/>
        </w:rPr>
      </w:r>
    </w:p>
    <w:p>
      <w:pPr>
        <w:pStyle w:val="Normal"/>
        <w:rPr/>
      </w:pPr>
      <w:r>
        <w:rPr/>
        <w:t>Enron has proposed that the City of Mesa enter into an “extension” structure to ensure continued “below-market” purchases after their current contracts expire.  By doing so, Mesa avoids entering the market during a time of extreme volatility.  If Mesa allows the existing deals to expire, they will be back to purchasing “at the market” with no mechanism to “beat the market” as accomplished the proposed structure.  The structure can be summarized as follows:</w:t>
      </w:r>
    </w:p>
    <w:p>
      <w:pPr>
        <w:pStyle w:val="Normal"/>
        <w:rPr/>
      </w:pPr>
      <w:r>
        <w:rPr/>
      </w:r>
    </w:p>
    <w:p>
      <w:pPr>
        <w:pStyle w:val="BodyText"/>
        <w:numPr>
          <w:ilvl w:val="0"/>
          <w:numId w:val="1"/>
        </w:numPr>
        <w:rPr>
          <w:sz w:val="20"/>
        </w:rPr>
      </w:pPr>
      <w:r>
        <w:rPr>
          <w:sz w:val="20"/>
        </w:rPr>
        <w:t>Mesa has two gas supply contracts with Enron - one fixed-price and one index-priced.</w:t>
      </w:r>
    </w:p>
    <w:p>
      <w:pPr>
        <w:pStyle w:val="BodyText"/>
        <w:numPr>
          <w:ilvl w:val="0"/>
          <w:numId w:val="1"/>
        </w:numPr>
        <w:rPr>
          <w:sz w:val="20"/>
        </w:rPr>
      </w:pPr>
      <w:r>
        <w:rPr>
          <w:sz w:val="20"/>
        </w:rPr>
        <w:t xml:space="preserve">The fixed price of $3.74 (covering half Mesa’s load) would be $4.24 beginning March, 2001 through July, 2001 (balance of existing contract).  </w:t>
      </w:r>
    </w:p>
    <w:p>
      <w:pPr>
        <w:pStyle w:val="BodyText"/>
        <w:numPr>
          <w:ilvl w:val="0"/>
          <w:numId w:val="1"/>
        </w:numPr>
        <w:rPr>
          <w:sz w:val="20"/>
        </w:rPr>
      </w:pPr>
      <w:r>
        <w:rPr>
          <w:sz w:val="20"/>
        </w:rPr>
        <w:t>Extend a new contract out six months which covers the total load at Index minus $0.125 beginning August, 2001 through January, 2002.</w:t>
      </w:r>
    </w:p>
    <w:p>
      <w:pPr>
        <w:pStyle w:val="Normal"/>
        <w:rPr>
          <w:sz w:val="20"/>
        </w:rPr>
      </w:pPr>
      <w:r>
        <w:rPr>
          <w:sz w:val="20"/>
        </w:rPr>
      </w:r>
    </w:p>
    <w:p>
      <w:pPr>
        <w:pStyle w:val="BodyText"/>
        <w:rPr>
          <w:sz w:val="20"/>
        </w:rPr>
      </w:pPr>
      <w:r>
        <w:rPr>
          <w:sz w:val="20"/>
        </w:rPr>
        <w:t>Here’s how we arrive at the discount to index:</w:t>
      </w:r>
    </w:p>
    <w:p>
      <w:pPr>
        <w:pStyle w:val="BodyText"/>
        <w:rPr>
          <w:sz w:val="20"/>
        </w:rPr>
      </w:pPr>
      <w:r>
        <w:rPr>
          <w:sz w:val="20"/>
        </w:rPr>
      </w:r>
    </w:p>
    <w:p>
      <w:pPr>
        <w:pStyle w:val="BodyText"/>
        <w:numPr>
          <w:ilvl w:val="0"/>
          <w:numId w:val="2"/>
        </w:numPr>
        <w:rPr>
          <w:sz w:val="20"/>
        </w:rPr>
      </w:pPr>
      <w:r>
        <w:rPr>
          <w:sz w:val="20"/>
        </w:rPr>
        <w:t>The volume on the remaining fixed price deal is 532,500MMBtus (half the load).  The volume in the “extension” is 1,707,000MMBtus (full load, half would be 853,500MMBtus).  The point here is that the volumes in the “extension” period are greater than the volumes in the “remaining” period.  Therefore, a $0.50 increase on the remainder of the fixed price load (half volume) does not translate to a $0.25 discount on the extension (full load) as one might initially infer.  This is because the volumes are greater in the “extension” period.  The ratio can be calculated as follows:</w:t>
      </w:r>
    </w:p>
    <w:p>
      <w:pPr>
        <w:pStyle w:val="BodyText"/>
        <w:rPr>
          <w:sz w:val="20"/>
        </w:rPr>
      </w:pPr>
      <w:r>
        <w:rPr>
          <w:sz w:val="20"/>
        </w:rPr>
      </w:r>
    </w:p>
    <w:p>
      <w:pPr>
        <w:pStyle w:val="BodyText"/>
        <w:ind w:start="720" w:end="0"/>
        <w:rPr>
          <w:sz w:val="20"/>
        </w:rPr>
      </w:pPr>
      <w:r>
        <w:rPr>
          <w:sz w:val="20"/>
        </w:rPr>
        <w:t>532,500/1,707,000 = .31</w:t>
      </w:r>
    </w:p>
    <w:p>
      <w:pPr>
        <w:pStyle w:val="BodyText"/>
        <w:rPr>
          <w:sz w:val="20"/>
        </w:rPr>
      </w:pPr>
      <w:r>
        <w:rPr>
          <w:sz w:val="20"/>
        </w:rPr>
      </w:r>
    </w:p>
    <w:p>
      <w:pPr>
        <w:pStyle w:val="BodyText"/>
        <w:numPr>
          <w:ilvl w:val="0"/>
          <w:numId w:val="2"/>
        </w:numPr>
        <w:rPr>
          <w:sz w:val="20"/>
        </w:rPr>
      </w:pPr>
      <w:r>
        <w:rPr>
          <w:sz w:val="20"/>
        </w:rPr>
        <w:t>Based on the ratio above, one would expect the discount in the extension to be:</w:t>
      </w:r>
    </w:p>
    <w:p>
      <w:pPr>
        <w:pStyle w:val="BodyText"/>
        <w:rPr>
          <w:sz w:val="20"/>
        </w:rPr>
      </w:pPr>
      <w:r>
        <w:rPr>
          <w:sz w:val="20"/>
        </w:rPr>
      </w:r>
    </w:p>
    <w:p>
      <w:pPr>
        <w:pStyle w:val="BodyText"/>
        <w:ind w:start="720" w:end="0"/>
        <w:rPr>
          <w:sz w:val="20"/>
        </w:rPr>
      </w:pPr>
      <w:r>
        <w:rPr>
          <w:sz w:val="20"/>
        </w:rPr>
        <w:t>$0.50 x .31 = $0.155</w:t>
      </w:r>
    </w:p>
    <w:p>
      <w:pPr>
        <w:pStyle w:val="BodyText"/>
        <w:rPr>
          <w:sz w:val="20"/>
        </w:rPr>
      </w:pPr>
      <w:r>
        <w:rPr>
          <w:sz w:val="20"/>
        </w:rPr>
      </w:r>
    </w:p>
    <w:p>
      <w:pPr>
        <w:pStyle w:val="BodyText"/>
        <w:rPr>
          <w:sz w:val="20"/>
        </w:rPr>
      </w:pPr>
      <w:r>
        <w:rPr>
          <w:sz w:val="20"/>
        </w:rPr>
        <w:t xml:space="preserve">      </w:t>
      </w:r>
      <w:r>
        <w:rPr>
          <w:sz w:val="20"/>
        </w:rPr>
        <w:t>However, there’s more….</w:t>
      </w:r>
    </w:p>
    <w:p>
      <w:pPr>
        <w:pStyle w:val="BodyText"/>
        <w:rPr>
          <w:sz w:val="20"/>
        </w:rPr>
      </w:pPr>
      <w:r>
        <w:rPr>
          <w:sz w:val="20"/>
        </w:rPr>
      </w:r>
    </w:p>
    <w:p>
      <w:pPr>
        <w:pStyle w:val="BodyText"/>
        <w:numPr>
          <w:ilvl w:val="0"/>
          <w:numId w:val="2"/>
        </w:numPr>
        <w:rPr>
          <w:sz w:val="20"/>
        </w:rPr>
      </w:pPr>
      <w:r>
        <w:rPr>
          <w:sz w:val="20"/>
        </w:rPr>
        <w:t>When purchasing physical gas you pay a “physical premium” which is the premium to index required by producers for physical gas deliveries.  It does not apply to financially settled transactions.  This number moves around just like underlying fixed-prices.  Therefore, at present the discount to index received by Mesa in the above structure, would be approximately:</w:t>
      </w:r>
    </w:p>
    <w:p>
      <w:pPr>
        <w:pStyle w:val="BodyText"/>
        <w:rPr>
          <w:sz w:val="20"/>
        </w:rPr>
      </w:pPr>
      <w:r>
        <w:rPr>
          <w:sz w:val="20"/>
        </w:rPr>
      </w:r>
    </w:p>
    <w:p>
      <w:pPr>
        <w:pStyle w:val="BodyText"/>
        <w:ind w:start="720" w:end="0"/>
        <w:rPr>
          <w:sz w:val="20"/>
        </w:rPr>
      </w:pPr>
      <w:r>
        <w:rPr>
          <w:sz w:val="20"/>
        </w:rPr>
        <w:t>Index +$0.03 (physical) - $0.155 (value transferred) = Index -$0.125</w:t>
      </w:r>
    </w:p>
    <w:p>
      <w:pPr>
        <w:pStyle w:val="BodyText"/>
        <w:rPr>
          <w:sz w:val="20"/>
        </w:rPr>
      </w:pPr>
      <w:r>
        <w:rPr>
          <w:sz w:val="20"/>
        </w:rPr>
      </w:r>
    </w:p>
    <w:p>
      <w:pPr>
        <w:pStyle w:val="BodyText"/>
        <w:rPr>
          <w:sz w:val="20"/>
        </w:rPr>
      </w:pPr>
      <w:r>
        <w:rPr>
          <w:sz w:val="20"/>
        </w:rPr>
        <w:t xml:space="preserve">If the February volumes can be added back in, the ratio in 1 above improves significantly and the discount is larger. </w:t>
      </w:r>
    </w:p>
    <w:p>
      <w:pPr>
        <w:pStyle w:val="BodyText"/>
        <w:rPr>
          <w:sz w:val="20"/>
        </w:rPr>
      </w:pPr>
      <w:r>
        <w:rPr>
          <w:sz w:val="20"/>
        </w:rPr>
      </w:r>
    </w:p>
    <w:p>
      <w:pPr>
        <w:pStyle w:val="BodyText"/>
        <w:rPr>
          <w:sz w:val="20"/>
        </w:rPr>
      </w:pPr>
      <w:r>
        <w:rPr>
          <w:sz w:val="20"/>
        </w:rPr>
      </w:r>
    </w:p>
    <w:p>
      <w:pPr>
        <w:pStyle w:val="BodyText"/>
        <w:rPr>
          <w:b/>
          <w:i/>
          <w:i/>
          <w:sz w:val="20"/>
        </w:rPr>
      </w:pPr>
      <w:r>
        <w:rPr>
          <w:b/>
          <w:i/>
          <w:sz w:val="20"/>
        </w:rPr>
        <w:t>This document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of ENA or any parent or affiliate of ENA.  The transaction described herein is subject to further review and approval of ENA and execution of definitive agreements containing all appropriate provisions.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2001-02-21T15:21:00Z</dcterms:created>
  <dc:creator>dfuller</dc:creator>
  <dc:description/>
  <dc:language>en-CA</dc:language>
  <cp:lastModifiedBy>dfuller</cp:lastModifiedBy>
  <dcterms:modified xsi:type="dcterms:W3CDTF">2001-02-21T16:28:00Z</dcterms:modified>
  <cp:revision>2</cp:revision>
  <dc:subject/>
  <dc:title>Calculation of Discount to Index in Enron Proposal</dc:title>
</cp:coreProperties>
</file>