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40"/>
        </w:rPr>
      </w:pPr>
      <w:r>
        <w:rPr>
          <w:sz w:val="40"/>
        </w:rPr>
        <w:t>Overview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  <w:sz w:val="40"/>
        </w:rPr>
      </w:pPr>
      <w:r>
        <w:rPr>
          <w:i/>
          <w:iCs/>
          <w:sz w:val="40"/>
        </w:rPr>
        <w:t>Why did California restructure?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  <w:sz w:val="40"/>
        </w:rPr>
      </w:pPr>
      <w:r>
        <w:rPr>
          <w:i/>
          <w:iCs/>
          <w:sz w:val="40"/>
        </w:rPr>
        <w:t>What went wrong?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  <w:sz w:val="40"/>
        </w:rPr>
      </w:pPr>
      <w:r>
        <w:rPr>
          <w:i/>
          <w:iCs/>
          <w:sz w:val="40"/>
        </w:rPr>
        <w:t>Where to from here?</w:t>
      </w:r>
      <w:r>
        <w:br w:type="page"/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Heading1"/>
        <w:ind w:hanging="0" w:start="0"/>
        <w:rPr/>
      </w:pPr>
      <w:r>
        <w:rPr>
          <w:sz w:val="40"/>
        </w:rPr>
        <w:t>Why Deregulation?</w:t>
      </w:r>
      <w:r>
        <w:rPr>
          <w:i w:val="false"/>
          <w:iCs w:val="false"/>
          <w:sz w:val="40"/>
        </w:rPr>
        <w:t>:</w:t>
        <w:tab/>
      </w:r>
      <w:r>
        <w:rPr>
          <w:sz w:val="40"/>
        </w:rPr>
        <w:t>The Facts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History replete with command-and-control failures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Command-and-control regulation has below average record as society’s energy portfolio manager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Natural gas price controls—1960s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Oil over-dependence—1970s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QF over-dependence—1980s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Nuclear over-dependence—1990s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PX over-dependence—Today</w:t>
      </w:r>
      <w:r>
        <w:br w:type="page"/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/>
      </w:pPr>
      <w:r>
        <w:rPr>
          <w:sz w:val="40"/>
        </w:rPr>
        <w:t>Why Deregulation?</w:t>
      </w:r>
      <w:r>
        <w:rPr>
          <w:i w:val="false"/>
          <w:iCs w:val="false"/>
          <w:sz w:val="40"/>
        </w:rPr>
        <w:t>:</w:t>
        <w:tab/>
      </w:r>
      <w:r>
        <w:rPr>
          <w:sz w:val="40"/>
        </w:rPr>
        <w:t>The Facts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4"/>
        </w:numPr>
        <w:rPr>
          <w:i/>
          <w:i/>
          <w:iCs/>
          <w:sz w:val="40"/>
        </w:rPr>
      </w:pPr>
      <w:r>
        <w:rPr>
          <w:i/>
          <w:iCs/>
          <w:sz w:val="40"/>
        </w:rPr>
        <w:t>California faced with success of restructuring in other industries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Natural gas deregulation—$ 50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Long distance deregulation--$5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Trucking deregulation--$19.6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Airline deregulation--$19.4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Railroad deregulation—$9.1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Tradable air emission credits (“RECLAIM”)</w:t>
      </w:r>
      <w:r>
        <w:br w:type="page"/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/>
      </w:pPr>
      <w:r>
        <w:rPr>
          <w:sz w:val="40"/>
        </w:rPr>
        <w:t>Why Deregulation?</w:t>
      </w:r>
      <w:r>
        <w:rPr>
          <w:i w:val="false"/>
          <w:iCs w:val="false"/>
          <w:sz w:val="40"/>
        </w:rPr>
        <w:t>:</w:t>
        <w:tab/>
      </w:r>
      <w:r>
        <w:rPr>
          <w:sz w:val="40"/>
        </w:rPr>
        <w:t>The Facts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4"/>
        </w:numPr>
        <w:rPr>
          <w:i/>
          <w:i/>
          <w:iCs/>
          <w:sz w:val="40"/>
        </w:rPr>
      </w:pPr>
      <w:r>
        <w:rPr>
          <w:b/>
          <w:bCs/>
          <w:i/>
          <w:iCs/>
          <w:sz w:val="40"/>
        </w:rPr>
        <w:t>The result</w:t>
      </w:r>
      <w:r>
        <w:rPr>
          <w:i/>
          <w:iCs/>
          <w:sz w:val="40"/>
        </w:rPr>
        <w:t>:  De-regulation, free trade and markets leave realm of partisan bickering and occupy place in mainstream economic policy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 xml:space="preserve">Cornerstone of economic policy embraced by both parties 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California was generally a reluctant participant in most industry restructuring—electricity was no different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California’s decision to restructure its electricity industry came after exhaustive, detailed analysis: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3"/>
          <w:numId w:val="10"/>
        </w:numPr>
        <w:rPr>
          <w:sz w:val="40"/>
        </w:rPr>
      </w:pPr>
      <w:r>
        <w:rPr>
          <w:sz w:val="40"/>
        </w:rPr>
        <w:t>Two years of study by the PUC and the Legislature</w:t>
      </w:r>
    </w:p>
    <w:p>
      <w:pPr>
        <w:pStyle w:val="Normal"/>
        <w:ind w:start="144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3"/>
          <w:numId w:val="10"/>
        </w:numPr>
        <w:rPr>
          <w:sz w:val="40"/>
        </w:rPr>
      </w:pPr>
      <w:r>
        <w:rPr>
          <w:sz w:val="40"/>
        </w:rPr>
        <w:t>Approved unanimously by both houses of the Legislature</w:t>
      </w:r>
      <w:r>
        <w:br w:type="page"/>
      </w:r>
    </w:p>
    <w:p>
      <w:pPr>
        <w:pStyle w:val="Normal"/>
        <w:ind w:start="1440" w:end="0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What went wrong in California?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9"/>
        </w:numPr>
        <w:rPr>
          <w:sz w:val="40"/>
        </w:rPr>
      </w:pPr>
      <w:r>
        <w:rPr>
          <w:sz w:val="40"/>
        </w:rPr>
        <w:t>Despite centuries of experience, California believed it could create its own “species” of market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9"/>
        </w:numPr>
        <w:rPr>
          <w:sz w:val="40"/>
        </w:rPr>
      </w:pPr>
      <w:r>
        <w:rPr>
          <w:sz w:val="40"/>
        </w:rPr>
        <w:t>California’s “market” did not include: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retail markets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forward markets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 xml:space="preserve">rudimentary market information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price signals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ease of entry by new supply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appropriate incentives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independent market institutions</w:t>
      </w:r>
      <w:r>
        <w:br w:type="page"/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What went wrong in California?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California looked to markets but remained electricity portfolio manger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California replaced one monopoly (the utility) with another (the spot market)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The effect—California put consumers on a variable rate mortgage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Great when interest rates are low; but painful when rates go up</w:t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 xml:space="preserve">Without additional supply, prices usually head one way—UP </w:t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Unable to respond to prices, consumers had nowhere to turn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7"/>
          <w:numId w:val="5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b/>
          <w:bCs/>
          <w:i/>
          <w:iCs/>
          <w:sz w:val="40"/>
        </w:rPr>
        <w:t>The conclusion</w:t>
      </w:r>
      <w:r>
        <w:rPr>
          <w:i/>
          <w:iCs/>
          <w:sz w:val="40"/>
        </w:rPr>
        <w:t>:  markets and consumer choice haven’t failed in California because California has yet to implement either</w:t>
      </w:r>
      <w:r>
        <w:br w:type="page"/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Where to from here?</w:t>
      </w:r>
    </w:p>
    <w:p>
      <w:pPr>
        <w:pStyle w:val="Normal"/>
        <w:ind w:start="720" w:end="0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Decades of trial and error demonstrate that consumers are better off with markets than with command-and-control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 xml:space="preserve">The regulator as  “electricity portfolio manager” hasn’t worked in the past and is unlikely to work now 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Attempts to “go back” put consumers at risk—“Do no harm”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Assigning blame offers little value</w:t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3"/>
        </w:numPr>
        <w:rPr>
          <w:sz w:val="40"/>
        </w:rPr>
      </w:pPr>
      <w:r>
        <w:rPr>
          <w:sz w:val="40"/>
        </w:rPr>
        <w:t>Align CPUC priorities with consumers—Finish the job</w:t>
      </w:r>
      <w:r>
        <w:br w:type="page"/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Where to from here?:  A PUC focused on retail markets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Get the utility out of the merchant function:   Re-assess the utility’s role as default service provider— consumers can do better?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In the interim, give the utility procurement flexibility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 xml:space="preserve">Give the utility financial incentives to procure efficiently 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Resist reconstructing a utility monopoly in generation—the market will do it cheaper, with less risk for consumers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Give customers the tools to assess and respond to price signals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Remove the barriers to choice by consumers and entry by providers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ind w:start="1080" w:end="0"/>
        <w:rPr>
          <w:i/>
          <w:i/>
          <w:iCs/>
          <w:sz w:val="40"/>
        </w:rPr>
      </w:pPr>
      <w:r>
        <w:rPr>
          <w:i/>
          <w:iCs/>
          <w:sz w:val="40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318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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  <w:i w:val="false"/>
        <w:b w:val="false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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16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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abstractNum w:abstractNumId="8">
    <w:lvl w:ilvl="0">
      <w:start w:val="1"/>
      <w:numFmt w:val="bullet"/>
      <w:lvlText w:val="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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abstractNum w:abstractNumId="10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b w:val="false"/>
      <w:i w:val="false"/>
      <w:sz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 w:val="false"/>
      <w:i w:val="false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6">
    <w:name w:val="WW8Num3z6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Wingdings" w:hAnsi="Wingdings" w:cs="Wingdings"/>
      <w:b w:val="false"/>
      <w:i w:val="false"/>
      <w:sz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6">
    <w:name w:val="WW8Num4z6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b w:val="false"/>
      <w:i w:val="false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6">
    <w:name w:val="WW8Num5z6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b w:val="false"/>
      <w:i w:val="false"/>
      <w:sz w:val="2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b w:val="false"/>
      <w:i w:val="false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b w:val="false"/>
      <w:i w:val="false"/>
      <w:sz w:val="20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8z3">
    <w:name w:val="WW8Num8z3"/>
    <w:qFormat/>
    <w:rPr>
      <w:rFonts w:ascii="Wingdings" w:hAnsi="Wingdings" w:cs="Wingdings"/>
      <w:sz w:val="16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 w:cs="Wingdings"/>
      <w:b w:val="false"/>
      <w:i w:val="false"/>
      <w:sz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b w:val="false"/>
      <w:i w:val="false"/>
      <w:sz w:val="20"/>
    </w:rPr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Wingdings" w:hAnsi="Wingdings" w:cs="Wingdings"/>
      <w:b w:val="false"/>
      <w:i w:val="false"/>
      <w:sz w:val="2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6">
    <w:name w:val="WW8Num11z6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b w:val="false"/>
      <w:i w:val="false"/>
      <w:sz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Wingdings" w:hAnsi="Wingdings" w:cs="Wingdings"/>
      <w:sz w:val="16"/>
    </w:rPr>
  </w:style>
  <w:style w:type="character" w:styleId="WW8Num12z6">
    <w:name w:val="WW8Num12z6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b w:val="false"/>
      <w:i w:val="false"/>
      <w:sz w:val="2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2000-12-04T17:58:00Z</dcterms:created>
  <dc:creator>jdasovic</dc:creator>
  <dc:description/>
  <dc:language>en-CA</dc:language>
  <cp:lastModifiedBy>skean</cp:lastModifiedBy>
  <cp:lastPrinted>2000-11-10T11:52:00Z</cp:lastPrinted>
  <dcterms:modified xsi:type="dcterms:W3CDTF">2000-12-04T17:58:00Z</dcterms:modified>
  <cp:revision>2</cp:revision>
  <dc:subject/>
  <dc:title>ð</dc:title>
</cp:coreProperties>
</file>