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sz w:val="26"/>
        </w:rPr>
      </w:pPr>
      <w:r>
        <w:rPr>
          <w:b/>
          <w:sz w:val="26"/>
        </w:rPr>
        <w:t>BEFORE THE</w:t>
      </w:r>
    </w:p>
    <w:p>
      <w:pPr>
        <w:pStyle w:val="Normal"/>
        <w:jc w:val="center"/>
        <w:rPr>
          <w:b/>
          <w:sz w:val="26"/>
        </w:rPr>
      </w:pPr>
      <w:r>
        <w:rPr>
          <w:b/>
          <w:sz w:val="26"/>
        </w:rPr>
        <w:t>FEDERAL ENERGY REGULATORY COMMISSION</w:t>
      </w:r>
    </w:p>
    <w:p>
      <w:pPr>
        <w:pStyle w:val="Normal"/>
        <w:rPr>
          <w:b/>
          <w:sz w:val="26"/>
        </w:rPr>
      </w:pPr>
      <w:r>
        <w:rPr>
          <w:b/>
          <w:sz w:val="26"/>
        </w:rPr>
      </w:r>
    </w:p>
    <w:p>
      <w:pPr>
        <w:pStyle w:val="Normal"/>
        <w:rPr>
          <w:sz w:val="26"/>
        </w:rPr>
      </w:pPr>
      <w:r>
        <w:rPr>
          <w:sz w:val="26"/>
        </w:rPr>
        <w:t>San Diego Gas &amp; Electric Company,</w:t>
        <w:tab/>
        <w:tab/>
        <w:t>)</w:t>
      </w:r>
    </w:p>
    <w:p>
      <w:pPr>
        <w:pStyle w:val="Normal"/>
        <w:rPr>
          <w:sz w:val="26"/>
        </w:rPr>
      </w:pPr>
      <w:r>
        <w:rPr>
          <w:sz w:val="26"/>
        </w:rPr>
        <w:tab/>
        <w:tab/>
        <w:tab/>
        <w:tab/>
        <w:tab/>
        <w:tab/>
        <w:tab/>
        <w:t>)</w:t>
      </w:r>
    </w:p>
    <w:p>
      <w:pPr>
        <w:pStyle w:val="Normal"/>
        <w:rPr>
          <w:sz w:val="26"/>
        </w:rPr>
      </w:pPr>
      <w:r>
        <w:rPr>
          <w:sz w:val="26"/>
        </w:rPr>
        <w:tab/>
        <w:tab/>
        <w:tab/>
        <w:t>Complainant,</w:t>
        <w:tab/>
        <w:tab/>
        <w:tab/>
        <w:t>)</w:t>
      </w:r>
    </w:p>
    <w:p>
      <w:pPr>
        <w:pStyle w:val="Normal"/>
        <w:rPr>
          <w:sz w:val="26"/>
        </w:rPr>
      </w:pPr>
      <w:r>
        <w:rPr>
          <w:sz w:val="26"/>
        </w:rPr>
        <w:tab/>
        <w:tab/>
        <w:tab/>
        <w:tab/>
        <w:tab/>
        <w:tab/>
        <w:tab/>
        <w:t>)</w:t>
      </w:r>
    </w:p>
    <w:p>
      <w:pPr>
        <w:pStyle w:val="Normal"/>
        <w:rPr>
          <w:sz w:val="26"/>
        </w:rPr>
      </w:pPr>
      <w:r>
        <w:rPr>
          <w:sz w:val="26"/>
        </w:rPr>
        <w:tab/>
        <w:tab/>
        <w:t>v.</w:t>
        <w:tab/>
        <w:tab/>
        <w:tab/>
        <w:tab/>
        <w:tab/>
        <w:t>)</w:t>
        <w:tab/>
        <w:t>Docket No. EL00-95-045</w:t>
      </w:r>
    </w:p>
    <w:p>
      <w:pPr>
        <w:pStyle w:val="Normal"/>
        <w:rPr>
          <w:sz w:val="26"/>
        </w:rPr>
      </w:pPr>
      <w:r>
        <w:rPr>
          <w:sz w:val="26"/>
        </w:rPr>
        <w:tab/>
        <w:tab/>
        <w:tab/>
        <w:tab/>
        <w:tab/>
        <w:tab/>
        <w:tab/>
        <w:t>)</w:t>
      </w:r>
    </w:p>
    <w:p>
      <w:pPr>
        <w:pStyle w:val="Normal"/>
        <w:rPr>
          <w:sz w:val="26"/>
        </w:rPr>
      </w:pPr>
      <w:r>
        <w:rPr>
          <w:sz w:val="26"/>
        </w:rPr>
        <w:t>Sellers of Energy and Ancillary Service Into</w:t>
        <w:tab/>
        <w:t>)</w:t>
      </w:r>
    </w:p>
    <w:p>
      <w:pPr>
        <w:pStyle w:val="Normal"/>
        <w:rPr>
          <w:sz w:val="26"/>
        </w:rPr>
      </w:pPr>
      <w:r>
        <w:rPr>
          <w:sz w:val="26"/>
        </w:rPr>
        <w:t>Markets Operated by the California</w:t>
        <w:tab/>
        <w:tab/>
        <w:t>)</w:t>
      </w:r>
    </w:p>
    <w:p>
      <w:pPr>
        <w:pStyle w:val="Normal"/>
        <w:rPr>
          <w:sz w:val="26"/>
        </w:rPr>
      </w:pPr>
      <w:r>
        <w:rPr>
          <w:sz w:val="26"/>
        </w:rPr>
        <w:t>Independent System Operator Corporation</w:t>
        <w:tab/>
        <w:t>)</w:t>
      </w:r>
    </w:p>
    <w:p>
      <w:pPr>
        <w:pStyle w:val="Normal"/>
        <w:rPr>
          <w:sz w:val="26"/>
        </w:rPr>
      </w:pPr>
      <w:r>
        <w:rPr>
          <w:sz w:val="26"/>
        </w:rPr>
        <w:t>and the California Power Exchange,</w:t>
        <w:tab/>
        <w:tab/>
        <w:t>)</w:t>
      </w:r>
    </w:p>
    <w:p>
      <w:pPr>
        <w:pStyle w:val="Normal"/>
        <w:rPr>
          <w:sz w:val="26"/>
        </w:rPr>
      </w:pPr>
      <w:r>
        <w:rPr>
          <w:sz w:val="26"/>
        </w:rPr>
        <w:tab/>
        <w:tab/>
        <w:tab/>
        <w:tab/>
        <w:tab/>
        <w:tab/>
        <w:tab/>
        <w:t>)</w:t>
      </w:r>
    </w:p>
    <w:p>
      <w:pPr>
        <w:pStyle w:val="Normal"/>
        <w:rPr>
          <w:sz w:val="26"/>
        </w:rPr>
      </w:pPr>
      <w:r>
        <w:rPr>
          <w:sz w:val="26"/>
        </w:rPr>
        <w:tab/>
        <w:tab/>
        <w:tab/>
        <w:t>Respondents.</w:t>
        <w:tab/>
        <w:tab/>
        <w:tab/>
        <w:t>)</w:t>
      </w:r>
    </w:p>
    <w:p>
      <w:pPr>
        <w:pStyle w:val="Normal"/>
        <w:rPr>
          <w:sz w:val="26"/>
        </w:rPr>
      </w:pPr>
      <w:r>
        <w:rPr>
          <w:sz w:val="26"/>
        </w:rPr>
        <w:tab/>
        <w:tab/>
        <w:tab/>
        <w:tab/>
        <w:tab/>
        <w:tab/>
        <w:tab/>
        <w:t>)</w:t>
      </w:r>
    </w:p>
    <w:p>
      <w:pPr>
        <w:pStyle w:val="Normal"/>
        <w:rPr>
          <w:sz w:val="26"/>
        </w:rPr>
      </w:pPr>
      <w:r>
        <w:rPr>
          <w:sz w:val="26"/>
        </w:rPr>
        <w:tab/>
        <w:tab/>
        <w:tab/>
        <w:tab/>
        <w:tab/>
        <w:tab/>
        <w:tab/>
        <w:t>)</w:t>
      </w:r>
    </w:p>
    <w:p>
      <w:pPr>
        <w:pStyle w:val="Normal"/>
        <w:rPr>
          <w:sz w:val="26"/>
        </w:rPr>
      </w:pPr>
      <w:r>
        <w:rPr>
          <w:sz w:val="26"/>
        </w:rPr>
        <w:t>Investigation of Practices of the California</w:t>
        <w:tab/>
        <w:t>)</w:t>
        <w:tab/>
        <w:t>Docket No. EL00-98-042</w:t>
      </w:r>
    </w:p>
    <w:p>
      <w:pPr>
        <w:pStyle w:val="Normal"/>
        <w:rPr>
          <w:sz w:val="26"/>
        </w:rPr>
      </w:pPr>
      <w:r>
        <w:rPr>
          <w:sz w:val="26"/>
        </w:rPr>
        <w:t>Independent System Operator and the</w:t>
        <w:tab/>
        <w:tab/>
        <w:t>)</w:t>
        <w:tab/>
        <w:t xml:space="preserve"> </w:t>
      </w:r>
    </w:p>
    <w:p>
      <w:pPr>
        <w:pStyle w:val="Normal"/>
        <w:rPr>
          <w:sz w:val="26"/>
        </w:rPr>
      </w:pPr>
      <w:r>
        <w:rPr>
          <w:sz w:val="26"/>
        </w:rPr>
        <w:t>California Power Exchange</w:t>
        <w:tab/>
        <w:tab/>
        <w:tab/>
        <w:tab/>
        <w:t>)</w:t>
      </w:r>
    </w:p>
    <w:p>
      <w:pPr>
        <w:pStyle w:val="Normal"/>
        <w:rPr>
          <w:sz w:val="26"/>
        </w:rPr>
      </w:pPr>
      <w:r>
        <w:rPr>
          <w:sz w:val="26"/>
        </w:rPr>
      </w:r>
    </w:p>
    <w:p>
      <w:pPr>
        <w:pStyle w:val="Normal"/>
        <w:rPr>
          <w:sz w:val="26"/>
        </w:rPr>
      </w:pPr>
      <w:r>
        <w:rPr>
          <w:sz w:val="26"/>
        </w:rPr>
      </w:r>
    </w:p>
    <w:p>
      <w:pPr>
        <w:pStyle w:val="Normal"/>
        <w:jc w:val="center"/>
        <w:rPr/>
      </w:pPr>
      <w:r>
        <w:rPr>
          <w:b/>
          <w:sz w:val="26"/>
        </w:rPr>
        <w:t>CALIFORNIA PARTIES’ DESIGNATION OF PROTECTED AND NON-PROTECTED MATERIALS PURSUANT TO NOVEMBER 15</w:t>
      </w:r>
      <w:r>
        <w:rPr>
          <w:b/>
          <w:sz w:val="26"/>
          <w:vertAlign w:val="superscript"/>
        </w:rPr>
        <w:t>TH</w:t>
      </w:r>
      <w:r>
        <w:rPr>
          <w:b/>
          <w:sz w:val="26"/>
        </w:rPr>
        <w:t xml:space="preserve"> ORDER CONCERNING PROTECTIVE ORDER </w:t>
      </w:r>
    </w:p>
    <w:p>
      <w:pPr>
        <w:pStyle w:val="Normal"/>
        <w:jc w:val="center"/>
        <w:rPr>
          <w:b/>
          <w:sz w:val="26"/>
        </w:rPr>
      </w:pPr>
      <w:r>
        <w:rPr>
          <w:b/>
          <w:sz w:val="26"/>
        </w:rPr>
      </w:r>
    </w:p>
    <w:p>
      <w:pPr>
        <w:pStyle w:val="Normal"/>
        <w:rPr>
          <w:b/>
          <w:sz w:val="26"/>
        </w:rPr>
      </w:pPr>
      <w:r>
        <w:rPr>
          <w:b/>
          <w:sz w:val="26"/>
        </w:rPr>
        <w:t>To:  The Honorable Bruce L. Birchman</w:t>
      </w:r>
    </w:p>
    <w:p>
      <w:pPr>
        <w:pStyle w:val="Normal"/>
        <w:rPr/>
      </w:pPr>
      <w:r>
        <w:rPr>
          <w:b/>
          <w:sz w:val="26"/>
        </w:rPr>
        <w:t xml:space="preserve">        </w:t>
      </w:r>
      <w:r>
        <w:rPr>
          <w:b/>
          <w:sz w:val="26"/>
        </w:rPr>
        <w:t>Presiding Administrative Law Judge</w:t>
      </w:r>
      <w:r>
        <w:rPr>
          <w:sz w:val="26"/>
        </w:rPr>
        <w:t xml:space="preserve"> </w:t>
      </w:r>
    </w:p>
    <w:p>
      <w:pPr>
        <w:pStyle w:val="Normal"/>
        <w:jc w:val="center"/>
        <w:rPr>
          <w:b/>
          <w:sz w:val="26"/>
        </w:rPr>
      </w:pPr>
      <w:r>
        <w:rPr>
          <w:b/>
          <w:sz w:val="26"/>
        </w:rPr>
        <w:t xml:space="preserve"> </w:t>
      </w:r>
    </w:p>
    <w:p>
      <w:pPr>
        <w:pStyle w:val="DoubleSpace"/>
        <w:rPr/>
      </w:pPr>
      <w:r>
        <w:rPr/>
        <w:tab/>
        <w:t xml:space="preserve">In accordance with the Presiding Administrative Law Judge’s November 15, 2001 Order lifting the Protective Order in the above-captioned proceeding with respect to heat rate and MMCP data, the California Parties (the California Attorney General, the California Electricity Oversight Board, the California Public Utilities Commission, Pacific Gas and Electric Company, San Diego Gas &amp; Electric Company, and Southern California Edison Company) hereby advise that all responsive testimony submitted by the California Parties is now in the public domain and no longer under seal.  However, some of the exhibits to the California Parties’ responsive testimony contain documents and data request responses produced by other parties pursuant to the Protective Order.  The California Parties would have no objection if the Protective Order were lifted as it applies to those exhibits; however, other parties made the original claims.  </w:t>
      </w:r>
    </w:p>
    <w:p>
      <w:pPr>
        <w:pStyle w:val="DoubleSpace"/>
        <w:ind w:firstLine="720" w:end="0"/>
        <w:rPr/>
      </w:pPr>
      <w:r>
        <w:rPr/>
        <w:t>The following materials originally designated (in whole or in part) as protected in the California Parties’ November 6</w:t>
      </w:r>
      <w:r>
        <w:rPr>
          <w:vertAlign w:val="superscript"/>
        </w:rPr>
        <w:t>th</w:t>
      </w:r>
      <w:r>
        <w:rPr/>
        <w:t xml:space="preserve"> responsive testimony and accompanying exhibits are no longer protected and should be treated in their entirety as part of the public record: </w:t>
      </w:r>
    </w:p>
    <w:p>
      <w:pPr>
        <w:pStyle w:val="DoubleSpace"/>
        <w:numPr>
          <w:ilvl w:val="0"/>
          <w:numId w:val="6"/>
        </w:numPr>
        <w:tabs>
          <w:tab w:val="clear" w:pos="720"/>
          <w:tab w:val="left" w:pos="2160" w:leader="none"/>
        </w:tabs>
        <w:ind w:hanging="720" w:start="2160" w:end="0"/>
        <w:rPr/>
      </w:pPr>
      <w:r>
        <w:rPr/>
        <w:t>Exhibit No. CAL-1;</w:t>
      </w:r>
    </w:p>
    <w:p>
      <w:pPr>
        <w:pStyle w:val="DoubleSpace"/>
        <w:numPr>
          <w:ilvl w:val="0"/>
          <w:numId w:val="6"/>
        </w:numPr>
        <w:tabs>
          <w:tab w:val="clear" w:pos="720"/>
          <w:tab w:val="left" w:pos="2160" w:leader="none"/>
        </w:tabs>
        <w:ind w:hanging="720" w:start="2160" w:end="0"/>
        <w:rPr/>
      </w:pPr>
      <w:r>
        <w:rPr/>
        <w:t>Exhibit No. CAL-2;</w:t>
      </w:r>
    </w:p>
    <w:p>
      <w:pPr>
        <w:pStyle w:val="DoubleSpace"/>
        <w:numPr>
          <w:ilvl w:val="0"/>
          <w:numId w:val="6"/>
        </w:numPr>
        <w:tabs>
          <w:tab w:val="clear" w:pos="720"/>
          <w:tab w:val="left" w:pos="2160" w:leader="none"/>
        </w:tabs>
        <w:ind w:hanging="720" w:start="2160" w:end="0"/>
        <w:rPr/>
      </w:pPr>
      <w:r>
        <w:rPr/>
        <w:t>Exhibit No. CAL-3;</w:t>
      </w:r>
    </w:p>
    <w:p>
      <w:pPr>
        <w:pStyle w:val="DoubleSpace"/>
        <w:numPr>
          <w:ilvl w:val="0"/>
          <w:numId w:val="6"/>
        </w:numPr>
        <w:tabs>
          <w:tab w:val="clear" w:pos="720"/>
          <w:tab w:val="left" w:pos="2160" w:leader="none"/>
        </w:tabs>
        <w:ind w:hanging="720" w:start="2160" w:end="0"/>
        <w:rPr/>
      </w:pPr>
      <w:r>
        <w:rPr/>
        <w:t>Exhibit No. CAL-6;</w:t>
      </w:r>
    </w:p>
    <w:p>
      <w:pPr>
        <w:pStyle w:val="DoubleSpace"/>
        <w:numPr>
          <w:ilvl w:val="0"/>
          <w:numId w:val="6"/>
        </w:numPr>
        <w:tabs>
          <w:tab w:val="clear" w:pos="720"/>
          <w:tab w:val="left" w:pos="2160" w:leader="none"/>
        </w:tabs>
        <w:ind w:hanging="720" w:start="2160" w:end="0"/>
        <w:rPr/>
      </w:pPr>
      <w:r>
        <w:rPr/>
        <w:t>Exhibit No. CAL-7;</w:t>
      </w:r>
    </w:p>
    <w:p>
      <w:pPr>
        <w:pStyle w:val="DoubleSpace"/>
        <w:numPr>
          <w:ilvl w:val="0"/>
          <w:numId w:val="6"/>
        </w:numPr>
        <w:tabs>
          <w:tab w:val="clear" w:pos="720"/>
          <w:tab w:val="left" w:pos="2160" w:leader="none"/>
        </w:tabs>
        <w:ind w:hanging="720" w:start="2160" w:end="0"/>
        <w:rPr/>
      </w:pPr>
      <w:r>
        <w:rPr/>
        <w:t>Exhibit No. CAL-10;</w:t>
      </w:r>
    </w:p>
    <w:p>
      <w:pPr>
        <w:pStyle w:val="DoubleSpace"/>
        <w:numPr>
          <w:ilvl w:val="0"/>
          <w:numId w:val="6"/>
        </w:numPr>
        <w:tabs>
          <w:tab w:val="clear" w:pos="720"/>
          <w:tab w:val="left" w:pos="2160" w:leader="none"/>
        </w:tabs>
        <w:ind w:hanging="720" w:start="2160" w:end="0"/>
        <w:rPr/>
      </w:pPr>
      <w:r>
        <w:rPr/>
        <w:t xml:space="preserve">Exhibit No. CAL-12; and </w:t>
      </w:r>
    </w:p>
    <w:p>
      <w:pPr>
        <w:pStyle w:val="DoubleSpace"/>
        <w:numPr>
          <w:ilvl w:val="0"/>
          <w:numId w:val="6"/>
        </w:numPr>
        <w:tabs>
          <w:tab w:val="clear" w:pos="720"/>
          <w:tab w:val="left" w:pos="2160" w:leader="none"/>
        </w:tabs>
        <w:ind w:hanging="720" w:start="2160" w:end="0"/>
        <w:rPr/>
      </w:pPr>
      <w:r>
        <w:rPr/>
        <w:t>Exhibit No. CAL-13.</w:t>
      </w:r>
    </w:p>
    <w:p>
      <w:pPr>
        <w:pStyle w:val="DoubleSpace"/>
        <w:ind w:firstLine="720" w:end="0"/>
        <w:rPr/>
      </w:pPr>
      <w:r>
        <w:rPr/>
        <w:t>The California Parties note that Exhibit No. CAL-4 was not originally submitted under seal and therefore already constitutes part of the public record in this proceeding.</w:t>
      </w:r>
    </w:p>
    <w:p>
      <w:pPr>
        <w:pStyle w:val="DoubleSpace"/>
        <w:keepNext w:val="true"/>
        <w:keepLines/>
        <w:ind w:firstLine="720" w:end="0"/>
        <w:rPr/>
      </w:pPr>
      <w:r>
        <w:rPr/>
        <w:t>The following exhibits, which consist of documents and data request responses provided by other parties as to which the producing party claimed protection, remain subject to the Protective Order:</w:t>
      </w:r>
    </w:p>
    <w:p>
      <w:pPr>
        <w:pStyle w:val="DoubleSpace"/>
        <w:keepNext w:val="true"/>
        <w:keepLines/>
        <w:numPr>
          <w:ilvl w:val="0"/>
          <w:numId w:val="5"/>
        </w:numPr>
        <w:tabs>
          <w:tab w:val="clear" w:pos="720"/>
          <w:tab w:val="left" w:pos="2160" w:leader="none"/>
        </w:tabs>
        <w:ind w:hanging="720" w:start="2160" w:end="0"/>
        <w:rPr/>
      </w:pPr>
      <w:r>
        <w:rPr/>
        <w:t xml:space="preserve">Exhibit No. CAL-5; </w:t>
      </w:r>
    </w:p>
    <w:p>
      <w:pPr>
        <w:pStyle w:val="DoubleSpace"/>
        <w:keepNext w:val="true"/>
        <w:keepLines/>
        <w:numPr>
          <w:ilvl w:val="0"/>
          <w:numId w:val="5"/>
        </w:numPr>
        <w:tabs>
          <w:tab w:val="clear" w:pos="720"/>
          <w:tab w:val="left" w:pos="2160" w:leader="none"/>
        </w:tabs>
        <w:ind w:hanging="720" w:start="2160" w:end="0"/>
        <w:rPr/>
      </w:pPr>
      <w:r>
        <w:rPr/>
        <w:t>Exhibit No. CAL-8;</w:t>
      </w:r>
    </w:p>
    <w:p>
      <w:pPr>
        <w:pStyle w:val="DoubleSpace"/>
        <w:keepNext w:val="true"/>
        <w:keepLines/>
        <w:numPr>
          <w:ilvl w:val="0"/>
          <w:numId w:val="5"/>
        </w:numPr>
        <w:tabs>
          <w:tab w:val="clear" w:pos="720"/>
          <w:tab w:val="left" w:pos="2160" w:leader="none"/>
        </w:tabs>
        <w:ind w:hanging="720" w:start="2160" w:end="0"/>
        <w:rPr/>
      </w:pPr>
      <w:r>
        <w:rPr/>
        <w:t xml:space="preserve">Exhibit No. CAL-9; and </w:t>
      </w:r>
    </w:p>
    <w:p>
      <w:pPr>
        <w:pStyle w:val="DoubleSpace"/>
        <w:keepNext w:val="true"/>
        <w:keepLines/>
        <w:numPr>
          <w:ilvl w:val="0"/>
          <w:numId w:val="5"/>
        </w:numPr>
        <w:tabs>
          <w:tab w:val="clear" w:pos="720"/>
          <w:tab w:val="left" w:pos="2160" w:leader="none"/>
        </w:tabs>
        <w:ind w:hanging="720" w:start="2160" w:end="0"/>
        <w:rPr/>
      </w:pPr>
      <w:r>
        <w:rPr/>
        <w:t xml:space="preserve">Exhibit No. CAL-11. </w:t>
      </w:r>
    </w:p>
    <w:p>
      <w:pPr>
        <w:pStyle w:val="DoubleSpace"/>
        <w:keepNext w:val="true"/>
        <w:keepLines/>
        <w:rPr/>
      </w:pPr>
      <w:r>
        <w:rPr/>
      </w:r>
    </w:p>
    <w:p>
      <w:pPr>
        <w:pStyle w:val="DoubleSpace"/>
        <w:keepNext w:val="true"/>
        <w:keepLines/>
        <w:ind w:start="3600" w:end="0"/>
        <w:rPr/>
      </w:pPr>
      <w:r>
        <w:rPr/>
        <w:t>Respectfully submitted,</w:t>
      </w:r>
    </w:p>
    <w:p>
      <w:pPr>
        <w:pStyle w:val="DoubleSpace"/>
        <w:ind w:start="5040" w:end="0"/>
        <w:rPr/>
      </w:pPr>
      <w:r>
        <w:rPr/>
      </w:r>
    </w:p>
    <w:p>
      <w:pPr>
        <w:pStyle w:val="SingleSpace"/>
        <w:ind w:firstLine="720" w:start="2880" w:end="0"/>
        <w:rPr/>
      </w:pPr>
      <w:r>
        <w:rPr/>
        <w:t>Richard L. Roberts</w:t>
      </w:r>
    </w:p>
    <w:p>
      <w:pPr>
        <w:pStyle w:val="SingleSpace"/>
        <w:ind w:firstLine="720" w:start="2880" w:end="0"/>
        <w:rPr/>
      </w:pPr>
      <w:r>
        <w:rPr/>
        <w:t>Catherine M. Giovannoni</w:t>
      </w:r>
    </w:p>
    <w:p>
      <w:pPr>
        <w:pStyle w:val="Normal"/>
        <w:ind w:firstLine="720" w:start="2880" w:end="0"/>
        <w:rPr/>
      </w:pPr>
      <w:r>
        <w:rPr/>
        <w:t>Carol Gosain</w:t>
      </w:r>
    </w:p>
    <w:p>
      <w:pPr>
        <w:pStyle w:val="SingleSpace"/>
        <w:ind w:firstLine="720" w:start="2880" w:end="0"/>
        <w:rPr/>
      </w:pPr>
      <w:r>
        <w:rPr/>
        <w:t>Steptoe &amp; Johnson LLP</w:t>
      </w:r>
    </w:p>
    <w:p>
      <w:pPr>
        <w:pStyle w:val="SingleSpace"/>
        <w:ind w:firstLine="720" w:start="2880" w:end="0"/>
        <w:rPr/>
      </w:pPr>
      <w:r>
        <w:rPr/>
        <w:t>1330 Connecticut Avenue, N.W.</w:t>
      </w:r>
    </w:p>
    <w:p>
      <w:pPr>
        <w:pStyle w:val="SingleSpace"/>
        <w:ind w:firstLine="720" w:start="2880" w:end="0"/>
        <w:rPr/>
      </w:pPr>
      <w:r>
        <w:rPr/>
        <w:t>Washington, D.C.  20036</w:t>
      </w:r>
    </w:p>
    <w:p>
      <w:pPr>
        <w:pStyle w:val="SingleSpace"/>
        <w:ind w:firstLine="720" w:start="2880" w:end="0"/>
        <w:rPr/>
      </w:pPr>
      <w:r>
        <w:rPr/>
        <w:t>(202) 429-3000</w:t>
      </w:r>
    </w:p>
    <w:p>
      <w:pPr>
        <w:pStyle w:val="SingleSpace"/>
        <w:ind w:firstLine="720" w:start="2880" w:end="0"/>
        <w:rPr/>
      </w:pPr>
      <w:r>
        <w:rPr/>
      </w:r>
    </w:p>
    <w:p>
      <w:pPr>
        <w:pStyle w:val="SingleSpace"/>
        <w:ind w:firstLine="720" w:start="2880" w:end="0"/>
        <w:rPr/>
      </w:pPr>
      <w:r>
        <w:rPr/>
        <w:t>Attorneys for Southern California Edison Company</w:t>
      </w:r>
    </w:p>
    <w:p>
      <w:pPr>
        <w:pStyle w:val="SingleSpace"/>
        <w:ind w:firstLine="720" w:start="2880" w:end="0"/>
        <w:rPr/>
      </w:pPr>
      <w:r>
        <w:rPr/>
        <w:t>On Behalf of the California Parties</w:t>
      </w:r>
    </w:p>
    <w:p>
      <w:pPr>
        <w:pStyle w:val="SingleSpac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SingleSpace"/>
        <w:rPr/>
      </w:pPr>
      <w:r>
        <w:rPr/>
        <w:t>Dated:</w:t>
        <w:tab/>
        <w:t>November 21, 2001</w:t>
      </w:r>
    </w:p>
    <w:p>
      <w:pPr>
        <w:pStyle w:val="Normal"/>
        <w:jc w:val="center"/>
        <w:rPr>
          <w:b/>
        </w:rPr>
      </w:pPr>
      <w:r>
        <w:rPr>
          <w:b/>
        </w:rPr>
        <w:t>CERTIFICATE OF SERVICE</w:t>
      </w:r>
    </w:p>
    <w:p>
      <w:pPr>
        <w:pStyle w:val="Normal"/>
        <w:rPr>
          <w:b/>
        </w:rPr>
      </w:pPr>
      <w:r>
        <w:rPr>
          <w:b/>
        </w:rPr>
      </w:r>
    </w:p>
    <w:p>
      <w:pPr>
        <w:pStyle w:val="Normal"/>
        <w:rPr/>
      </w:pPr>
      <w:r>
        <w:rPr/>
      </w:r>
    </w:p>
    <w:p>
      <w:pPr>
        <w:pStyle w:val="DoubleSpace"/>
        <w:rPr/>
      </w:pPr>
      <w:r>
        <w:rPr/>
        <w:tab/>
        <w:t>I HEREBY CERTIFY that I have this day caused the foregoing document to be served via electronic mail upon each party to this proceeding as reflected on the official service list compiled by the Secretary of the Commission in this proceeding.</w:t>
      </w:r>
    </w:p>
    <w:p>
      <w:pPr>
        <w:pStyle w:val="Normal"/>
        <w:rPr/>
      </w:pPr>
      <w:r>
        <w:rPr/>
        <w:tab/>
        <w:tab/>
      </w:r>
    </w:p>
    <w:p>
      <w:pPr>
        <w:pStyle w:val="Normal"/>
        <w:ind w:firstLine="720" w:end="0"/>
        <w:rPr/>
      </w:pPr>
      <w:r>
        <w:rPr/>
        <w:t>Dated at Washington, D.C., this twenty-first day of November, 2001.</w:t>
      </w:r>
    </w:p>
    <w:p>
      <w:pPr>
        <w:pStyle w:val="Normal"/>
        <w:rPr/>
      </w:pPr>
      <w:r>
        <w:rPr/>
      </w:r>
    </w:p>
    <w:p>
      <w:pPr>
        <w:pStyle w:val="Normal"/>
        <w:rPr/>
      </w:pPr>
      <w:r>
        <w:rPr/>
      </w:r>
    </w:p>
    <w:p>
      <w:pPr>
        <w:pStyle w:val="Normal"/>
        <w:rPr/>
      </w:pPr>
      <w:r>
        <w:rPr/>
      </w:r>
    </w:p>
    <w:p>
      <w:pPr>
        <w:pStyle w:val="Normal"/>
        <w:rPr/>
      </w:pPr>
      <w:r>
        <w:rPr/>
        <w:tab/>
        <w:tab/>
        <w:tab/>
        <w:tab/>
        <w:tab/>
        <w:tab/>
        <w:tab/>
        <w:t>_________________________________</w:t>
      </w:r>
    </w:p>
    <w:p>
      <w:pPr>
        <w:pStyle w:val="Normal"/>
        <w:rPr/>
      </w:pPr>
      <w:r>
        <w:rPr/>
        <w:tab/>
        <w:tab/>
        <w:tab/>
        <w:tab/>
        <w:tab/>
        <w:tab/>
        <w:tab/>
        <w:t>Carol Gosain</w:t>
      </w:r>
    </w:p>
    <w:p>
      <w:pPr>
        <w:pStyle w:val="Normal"/>
        <w:rPr/>
      </w:pPr>
      <w:r>
        <w:rPr/>
        <w:tab/>
        <w:tab/>
        <w:tab/>
        <w:tab/>
        <w:tab/>
        <w:tab/>
        <w:tab/>
        <w:t xml:space="preserve">Steptoe &amp; Johnson </w:t>
      </w:r>
      <w:r>
        <w:rPr>
          <w:sz w:val="22"/>
        </w:rPr>
        <w:t>LLP</w:t>
      </w:r>
    </w:p>
    <w:p>
      <w:pPr>
        <w:pStyle w:val="Normal"/>
        <w:rPr/>
      </w:pPr>
      <w:r>
        <w:rPr/>
        <w:tab/>
        <w:tab/>
        <w:tab/>
        <w:tab/>
        <w:tab/>
        <w:tab/>
        <w:tab/>
        <w:t>1330 Connecticut Avenue, N.W.</w:t>
      </w:r>
    </w:p>
    <w:p>
      <w:pPr>
        <w:pStyle w:val="Normal"/>
        <w:rPr/>
      </w:pPr>
      <w:r>
        <w:rPr/>
        <w:tab/>
        <w:tab/>
        <w:tab/>
        <w:tab/>
        <w:tab/>
        <w:tab/>
        <w:tab/>
        <w:t>Washington, D.C.  20036</w:t>
      </w:r>
    </w:p>
    <w:p>
      <w:pPr>
        <w:pStyle w:val="IndexHeading"/>
        <w:rPr/>
      </w:pPr>
      <w:r>
        <w:rPr/>
        <w:tab/>
        <w:tab/>
        <w:tab/>
        <w:tab/>
        <w:tab/>
        <w:tab/>
        <w:tab/>
        <w:t>(202) 429-3000</w:t>
      </w:r>
    </w:p>
    <w:p>
      <w:pPr>
        <w:pStyle w:val="Normal"/>
        <w:rPr/>
      </w:pPr>
      <w:r>
        <w:rPr/>
        <w:tab/>
        <w:tab/>
        <w:tab/>
        <w:tab/>
        <w:tab/>
        <w:tab/>
        <w:tab/>
        <w:t>cgosain@steptoe.com</w:t>
      </w:r>
    </w:p>
    <w:p>
      <w:pPr>
        <w:pStyle w:val="DoubleSpace"/>
        <w:rPr/>
      </w:pPr>
      <w:r>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6543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65430" cy="2095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0.9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lang w:eastAsia="en-US"/>
    </w:rPr>
  </w:style>
  <w:style w:type="paragraph" w:styleId="Heading4">
    <w:name w:val="heading 4"/>
    <w:basedOn w:val="Normal"/>
    <w:next w:val="BodyText"/>
    <w:qFormat/>
    <w:pPr>
      <w:numPr>
        <w:ilvl w:val="3"/>
        <w:numId w:val="1"/>
      </w:numPr>
      <w:spacing w:before="0" w:after="24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sz w:val="24"/>
      <w:u w:val="none"/>
    </w:rPr>
  </w:style>
  <w:style w:type="character" w:styleId="WW8Num4z1">
    <w:name w:val="WW8Num4z1"/>
    <w:qFormat/>
    <w:rPr>
      <w:rFonts w:ascii="Times New Roman" w:hAnsi="Times New Roman" w:cs="Times New Roman"/>
      <w:sz w:val="24"/>
      <w:u w:val="none"/>
    </w:rPr>
  </w:style>
  <w:style w:type="character" w:styleId="WW8Num4z2">
    <w:name w:val="WW8Num4z2"/>
    <w:qFormat/>
    <w:rPr>
      <w:rFonts w:ascii="Times New Roman" w:hAnsi="Times New Roman" w:cs="Times New Roman"/>
      <w:sz w:val="24"/>
    </w:rPr>
  </w:style>
  <w:style w:type="character" w:styleId="WW8Num4z8">
    <w:name w:val="WW8Num4z8"/>
    <w:qFormat/>
    <w:rPr>
      <w:rFonts w:ascii="Times New Roman" w:hAnsi="Times New Roman" w:cs="Times New Roman"/>
    </w:rPr>
  </w:style>
  <w:style w:type="character" w:styleId="WW8Num5z0">
    <w:name w:val="WW8Num5z0"/>
    <w:qFormat/>
    <w:rPr/>
  </w:style>
  <w:style w:type="character" w:styleId="WW8Num6z0">
    <w:name w:val="WW8Num6z0"/>
    <w:qFormat/>
    <w:rPr>
      <w:rFonts w:ascii="Times New Roman" w:hAnsi="Times New Roman" w:cs="Times New Roman"/>
      <w:sz w:val="24"/>
      <w:u w:val="none"/>
    </w:rPr>
  </w:style>
  <w:style w:type="character" w:styleId="WW8Num6z1">
    <w:name w:val="WW8Num6z1"/>
    <w:qFormat/>
    <w:rPr>
      <w:rFonts w:ascii="Times New Roman" w:hAnsi="Times New Roman" w:cs="Times New Roman"/>
      <w:sz w:val="24"/>
      <w:u w:val="none"/>
    </w:rPr>
  </w:style>
  <w:style w:type="character" w:styleId="WW8Num6z2">
    <w:name w:val="WW8Num6z2"/>
    <w:qFormat/>
    <w:rPr>
      <w:rFonts w:ascii="Times New Roman" w:hAnsi="Times New Roman" w:cs="Times New Roman"/>
      <w:sz w:val="24"/>
    </w:rPr>
  </w:style>
  <w:style w:type="character" w:styleId="WW8Num6z8">
    <w:name w:val="WW8Num6z8"/>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sz w:val="24"/>
      <w:u w:val="none"/>
    </w:rPr>
  </w:style>
  <w:style w:type="character" w:styleId="WW8Num9z1">
    <w:name w:val="WW8Num9z1"/>
    <w:qFormat/>
    <w:rPr>
      <w:rFonts w:ascii="Times New Roman" w:hAnsi="Times New Roman" w:cs="Times New Roman"/>
      <w:sz w:val="24"/>
      <w:u w:val="none"/>
    </w:rPr>
  </w:style>
  <w:style w:type="character" w:styleId="WW8Num9z2">
    <w:name w:val="WW8Num9z2"/>
    <w:qFormat/>
    <w:rPr>
      <w:rFonts w:ascii="Times New Roman" w:hAnsi="Times New Roman" w:cs="Times New Roman"/>
      <w:sz w:val="24"/>
    </w:rPr>
  </w:style>
  <w:style w:type="character" w:styleId="WW8Num9z8">
    <w:name w:val="WW8Num9z8"/>
    <w:qFormat/>
    <w:rPr>
      <w:rFonts w:ascii="Times New Roman" w:hAnsi="Times New Roman" w:cs="Times New Roman"/>
    </w:rPr>
  </w:style>
  <w:style w:type="character" w:styleId="WW8Num10z0">
    <w:name w:val="WW8Num10z0"/>
    <w:qFormat/>
    <w:rPr>
      <w:rFonts w:ascii="Times New Roman" w:hAnsi="Times New Roman" w:cs="Times New Roman"/>
      <w:sz w:val="24"/>
      <w:u w:val="none"/>
    </w:rPr>
  </w:style>
  <w:style w:type="character" w:styleId="WW8Num10z1">
    <w:name w:val="WW8Num10z1"/>
    <w:qFormat/>
    <w:rPr>
      <w:rFonts w:ascii="Times New Roman" w:hAnsi="Times New Roman" w:cs="Times New Roman"/>
      <w:sz w:val="24"/>
      <w:u w:val="none"/>
    </w:rPr>
  </w:style>
  <w:style w:type="character" w:styleId="WW8Num10z2">
    <w:name w:val="WW8Num10z2"/>
    <w:qFormat/>
    <w:rPr>
      <w:rFonts w:ascii="Times New Roman" w:hAnsi="Times New Roman" w:cs="Times New Roman"/>
      <w:sz w:val="24"/>
    </w:rPr>
  </w:style>
  <w:style w:type="character" w:styleId="WW8Num10z8">
    <w:name w:val="WW8Num10z8"/>
    <w:qFormat/>
    <w:rPr>
      <w:rFonts w:ascii="Times New Roman" w:hAnsi="Times New Roman" w:cs="Times New Roman"/>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sz w:val="24"/>
      <w:u w:val="none"/>
    </w:rPr>
  </w:style>
  <w:style w:type="character" w:styleId="WW8Num13z1">
    <w:name w:val="WW8Num13z1"/>
    <w:qFormat/>
    <w:rPr>
      <w:rFonts w:ascii="Times New Roman" w:hAnsi="Times New Roman" w:cs="Times New Roman"/>
      <w:sz w:val="24"/>
      <w:u w:val="none"/>
    </w:rPr>
  </w:style>
  <w:style w:type="character" w:styleId="WW8Num13z2">
    <w:name w:val="WW8Num13z2"/>
    <w:qFormat/>
    <w:rPr>
      <w:rFonts w:ascii="Times New Roman" w:hAnsi="Times New Roman" w:cs="Times New Roman"/>
      <w:sz w:val="24"/>
    </w:rPr>
  </w:style>
  <w:style w:type="character" w:styleId="WW8Num13z8">
    <w:name w:val="WW8Num13z8"/>
    <w:qFormat/>
    <w:rPr>
      <w:rFonts w:ascii="Times New Roman" w:hAnsi="Times New Roman" w:cs="Times New Roman"/>
    </w:rPr>
  </w:style>
  <w:style w:type="character" w:styleId="WW8Num14z0">
    <w:name w:val="WW8Num14z0"/>
    <w:qFormat/>
    <w:rPr>
      <w:rFonts w:ascii="Courier New" w:hAnsi="Courier New" w:cs="Courier New"/>
      <w:b w:val="false"/>
      <w:i w:val="false"/>
      <w:sz w:val="24"/>
    </w:rPr>
  </w:style>
  <w:style w:type="character" w:styleId="WW8Num15z0">
    <w:name w:val="WW8Num15z0"/>
    <w:qFormat/>
    <w:rPr>
      <w:rFonts w:ascii="Times New Roman" w:hAnsi="Times New Roman" w:cs="Times New Roman"/>
      <w:sz w:val="24"/>
      <w:u w:val="none"/>
    </w:rPr>
  </w:style>
  <w:style w:type="character" w:styleId="WW8Num15z1">
    <w:name w:val="WW8Num15z1"/>
    <w:qFormat/>
    <w:rPr>
      <w:rFonts w:ascii="Times New Roman" w:hAnsi="Times New Roman" w:cs="Times New Roman"/>
      <w:sz w:val="24"/>
      <w:u w:val="none"/>
    </w:rPr>
  </w:style>
  <w:style w:type="character" w:styleId="WW8Num15z2">
    <w:name w:val="WW8Num15z2"/>
    <w:qFormat/>
    <w:rPr>
      <w:rFonts w:ascii="Times New Roman" w:hAnsi="Times New Roman" w:cs="Times New Roman"/>
      <w:sz w:val="24"/>
    </w:rPr>
  </w:style>
  <w:style w:type="character" w:styleId="WW8Num15z8">
    <w:name w:val="WW8Num15z8"/>
    <w:qFormat/>
    <w:rPr>
      <w:rFonts w:ascii="Times New Roman" w:hAnsi="Times New Roman" w:cs="Times New Roman"/>
    </w:rPr>
  </w:style>
  <w:style w:type="character" w:styleId="WW8Num16z0">
    <w:name w:val="WW8Num16z0"/>
    <w:qFormat/>
    <w:rPr>
      <w:rFonts w:ascii="Times New Roman" w:hAnsi="Times New Roman" w:cs="Times New Roman"/>
      <w:sz w:val="24"/>
      <w:u w:val="none"/>
    </w:rPr>
  </w:style>
  <w:style w:type="character" w:styleId="WW8Num16z1">
    <w:name w:val="WW8Num16z1"/>
    <w:qFormat/>
    <w:rPr>
      <w:rFonts w:ascii="Times New Roman" w:hAnsi="Times New Roman" w:cs="Times New Roman"/>
      <w:sz w:val="24"/>
      <w:u w:val="none"/>
    </w:rPr>
  </w:style>
  <w:style w:type="character" w:styleId="WW8Num16z2">
    <w:name w:val="WW8Num16z2"/>
    <w:qFormat/>
    <w:rPr>
      <w:rFonts w:ascii="Times New Roman" w:hAnsi="Times New Roman" w:cs="Times New Roman"/>
      <w:sz w:val="24"/>
    </w:rPr>
  </w:style>
  <w:style w:type="character" w:styleId="WW8Num16z8">
    <w:name w:val="WW8Num16z8"/>
    <w:qFormat/>
    <w:rPr>
      <w:rFonts w:ascii="Times New Roman" w:hAnsi="Times New Roman" w:cs="Times New Roman"/>
    </w:rPr>
  </w:style>
  <w:style w:type="character" w:styleId="WW8Num17z0">
    <w:name w:val="WW8Num17z0"/>
    <w:qFormat/>
    <w:rPr>
      <w:rFonts w:ascii="Times New Roman" w:hAnsi="Times New Roman" w:cs="Times New Roman"/>
      <w:sz w:val="24"/>
      <w:u w:val="none"/>
    </w:rPr>
  </w:style>
  <w:style w:type="character" w:styleId="WW8Num17z1">
    <w:name w:val="WW8Num17z1"/>
    <w:qFormat/>
    <w:rPr>
      <w:rFonts w:ascii="Times New Roman" w:hAnsi="Times New Roman" w:cs="Times New Roman"/>
      <w:sz w:val="24"/>
      <w:u w:val="none"/>
    </w:rPr>
  </w:style>
  <w:style w:type="character" w:styleId="WW8Num17z2">
    <w:name w:val="WW8Num17z2"/>
    <w:qFormat/>
    <w:rPr>
      <w:rFonts w:ascii="Times New Roman" w:hAnsi="Times New Roman" w:cs="Times New Roman"/>
      <w:sz w:val="24"/>
    </w:rPr>
  </w:style>
  <w:style w:type="character" w:styleId="WW8Num17z8">
    <w:name w:val="WW8Num17z8"/>
    <w:qFormat/>
    <w:rPr>
      <w:rFonts w:ascii="Times New Roman" w:hAnsi="Times New Roman" w:cs="Times New Roman"/>
    </w:rPr>
  </w:style>
  <w:style w:type="character" w:styleId="WW8Num18z0">
    <w:name w:val="WW8Num18z0"/>
    <w:qFormat/>
    <w:rPr/>
  </w:style>
  <w:style w:type="character" w:styleId="WW8Num19z0">
    <w:name w:val="WW8Num19z0"/>
    <w:qFormat/>
    <w:rPr>
      <w:rFonts w:ascii="Times New Roman" w:hAnsi="Times New Roman" w:cs="Times New Roman"/>
      <w:sz w:val="24"/>
      <w:u w:val="none"/>
    </w:rPr>
  </w:style>
  <w:style w:type="character" w:styleId="WW8Num19z1">
    <w:name w:val="WW8Num19z1"/>
    <w:qFormat/>
    <w:rPr>
      <w:rFonts w:ascii="Times New Roman" w:hAnsi="Times New Roman" w:cs="Times New Roman"/>
      <w:sz w:val="24"/>
      <w:u w:val="none"/>
    </w:rPr>
  </w:style>
  <w:style w:type="character" w:styleId="WW8Num19z2">
    <w:name w:val="WW8Num19z2"/>
    <w:qFormat/>
    <w:rPr>
      <w:rFonts w:ascii="Times New Roman" w:hAnsi="Times New Roman" w:cs="Times New Roman"/>
      <w:sz w:val="24"/>
    </w:rPr>
  </w:style>
  <w:style w:type="character" w:styleId="WW8Num19z8">
    <w:name w:val="WW8Num19z8"/>
    <w:qFormat/>
    <w:rPr>
      <w:rFonts w:ascii="Times New Roman" w:hAnsi="Times New Roman" w:cs="Times New Roman"/>
    </w:rPr>
  </w:style>
  <w:style w:type="character" w:styleId="WW8Num20z0">
    <w:name w:val="WW8Num20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rPr>
  </w:style>
  <w:style w:type="paragraph" w:styleId="BodyText">
    <w:name w:val="Body Text"/>
    <w:basedOn w:val="Normal"/>
    <w:pPr/>
    <w:rPr>
      <w:b/>
      <w:sz w:val="26"/>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exact" w:line="56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4"/>
      </w:numPr>
      <w:tabs>
        <w:tab w:val="clear" w:pos="720"/>
      </w:tabs>
      <w:spacing w:before="0" w:after="240"/>
      <w:ind w:hanging="720" w:start="1440" w:end="720"/>
    </w:pPr>
    <w:rPr/>
  </w:style>
  <w:style w:type="paragraph" w:styleId="ListBullet2">
    <w:name w:val="List Bullet 2"/>
    <w:basedOn w:val="Normal"/>
    <w:qFormat/>
    <w:pPr>
      <w:numPr>
        <w:ilvl w:val="0"/>
        <w:numId w:val="2"/>
      </w:numPr>
      <w:tabs>
        <w:tab w:val="clear" w:pos="720"/>
      </w:tabs>
      <w:spacing w:before="0" w:after="240"/>
      <w:ind w:hanging="0" w:start="0" w:end="1440"/>
    </w:pPr>
    <w:rPr/>
  </w:style>
  <w:style w:type="paragraph" w:styleId="ListNumber">
    <w:name w:val="List Number"/>
    <w:basedOn w:val="Normal"/>
    <w:qFormat/>
    <w:pPr>
      <w:numPr>
        <w:ilvl w:val="0"/>
        <w:numId w:val="3"/>
      </w:numPr>
      <w:tabs>
        <w:tab w:val="clear" w:pos="720"/>
      </w:tabs>
      <w:spacing w:before="0" w:after="240"/>
      <w:ind w:hanging="720" w:start="1440" w:end="0"/>
    </w:pPr>
    <w:rPr/>
  </w:style>
  <w:style w:type="paragraph" w:styleId="NormalIndent">
    <w:name w:val="Normal Indent"/>
    <w:basedOn w:val="Normal"/>
    <w:qFormat/>
    <w:pPr>
      <w:spacing w:before="0" w:after="240"/>
      <w:ind w:hanging="0" w:start="720" w:end="0"/>
    </w:pPr>
    <w:rPr/>
  </w:style>
  <w:style w:type="paragraph" w:styleId="SingleSpace">
    <w:name w:val="Single Space"/>
    <w:basedOn w:val="Normal"/>
    <w:qFormat/>
    <w:pPr/>
    <w:rPr>
      <w:lang w:eastAsia="en-US"/>
    </w:rPr>
  </w:style>
  <w:style w:type="paragraph" w:styleId="DoubleIndent">
    <w:name w:val="Double Indent"/>
    <w:basedOn w:val="Normal"/>
    <w:qFormat/>
    <w:pPr>
      <w:spacing w:before="0" w:after="240"/>
      <w:ind w:hanging="0" w:start="1440" w:end="1440"/>
    </w:pPr>
    <w:rPr/>
  </w:style>
  <w:style w:type="paragraph" w:styleId="EndnoteText">
    <w:name w:val="endnote text"/>
    <w:basedOn w:val="Normal"/>
    <w:pPr>
      <w:spacing w:before="0" w:after="240"/>
      <w:ind w:firstLine="720" w:start="0" w:end="0"/>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60" w:leader="dot"/>
      </w:tabs>
      <w:spacing w:before="0" w:after="120"/>
      <w:ind w:hanging="720" w:start="720" w:end="0"/>
    </w:pPr>
    <w:rPr/>
  </w:style>
  <w:style w:type="paragraph" w:styleId="TOC2">
    <w:name w:val="toc 2"/>
    <w:basedOn w:val="Normal"/>
    <w:next w:val="Normal"/>
    <w:pPr>
      <w:tabs>
        <w:tab w:val="clear" w:pos="720"/>
        <w:tab w:val="right" w:pos="9360" w:leader="dot"/>
      </w:tabs>
      <w:spacing w:before="0" w:after="120"/>
      <w:ind w:hanging="720" w:start="1440" w:end="0"/>
    </w:pPr>
    <w:rPr/>
  </w:style>
  <w:style w:type="paragraph" w:styleId="TOC3">
    <w:name w:val="toc 3"/>
    <w:basedOn w:val="Normal"/>
    <w:next w:val="Normal"/>
    <w:pPr>
      <w:tabs>
        <w:tab w:val="clear" w:pos="720"/>
        <w:tab w:val="left" w:pos="2160" w:leader="none"/>
        <w:tab w:val="right" w:pos="9360" w:leader="dot"/>
      </w:tabs>
      <w:spacing w:before="0" w:after="120"/>
      <w:ind w:hanging="720" w:start="2160" w:end="0"/>
    </w:pPr>
    <w:rPr/>
  </w:style>
  <w:style w:type="paragraph" w:styleId="TOC4">
    <w:name w:val="toc 4"/>
    <w:basedOn w:val="Normal"/>
    <w:next w:val="Normal"/>
    <w:pPr>
      <w:tabs>
        <w:tab w:val="clear" w:pos="720"/>
        <w:tab w:val="right" w:pos="9360" w:leader="dot"/>
      </w:tabs>
      <w:spacing w:before="0" w:after="120"/>
      <w:ind w:hanging="720" w:start="2880" w:end="0"/>
    </w:pPr>
    <w:rPr/>
  </w:style>
  <w:style w:type="paragraph" w:styleId="TOC5">
    <w:name w:val="toc 5"/>
    <w:basedOn w:val="Normal"/>
    <w:next w:val="Normal"/>
    <w:pPr>
      <w:tabs>
        <w:tab w:val="clear" w:pos="720"/>
        <w:tab w:val="right" w:pos="9360" w:leader="dot"/>
      </w:tabs>
      <w:spacing w:before="0" w:after="120"/>
      <w:ind w:hanging="720" w:start="3600" w:end="0"/>
    </w:pPr>
    <w:rPr/>
  </w:style>
  <w:style w:type="paragraph" w:styleId="TOC6">
    <w:name w:val="toc 6"/>
    <w:basedOn w:val="Normal"/>
    <w:next w:val="Normal"/>
    <w:pPr>
      <w:tabs>
        <w:tab w:val="clear" w:pos="720"/>
        <w:tab w:val="right" w:pos="9360" w:leader="dot"/>
      </w:tabs>
      <w:spacing w:before="0" w:after="120"/>
      <w:ind w:hanging="720" w:start="4320" w:end="0"/>
    </w:pPr>
    <w:rPr/>
  </w:style>
  <w:style w:type="paragraph" w:styleId="TOC7">
    <w:name w:val="toc 7"/>
    <w:basedOn w:val="Normal"/>
    <w:next w:val="Normal"/>
    <w:pPr>
      <w:tabs>
        <w:tab w:val="clear" w:pos="720"/>
        <w:tab w:val="right" w:pos="9360" w:leader="dot"/>
      </w:tabs>
      <w:spacing w:before="0" w:after="120"/>
      <w:ind w:hanging="720" w:start="5040" w:end="0"/>
    </w:pPr>
    <w:rPr/>
  </w:style>
  <w:style w:type="paragraph" w:styleId="TOC8">
    <w:name w:val="toc 8"/>
    <w:basedOn w:val="Normal"/>
    <w:next w:val="Normal"/>
    <w:pPr>
      <w:tabs>
        <w:tab w:val="clear" w:pos="720"/>
        <w:tab w:val="right" w:pos="9360" w:leader="dot"/>
      </w:tabs>
      <w:spacing w:before="0" w:after="120"/>
      <w:ind w:hanging="720" w:start="5760" w:end="0"/>
    </w:pPr>
    <w:rPr/>
  </w:style>
  <w:style w:type="paragraph" w:styleId="TOC9">
    <w:name w:val="toc 9"/>
    <w:basedOn w:val="Normal"/>
    <w:next w:val="Normal"/>
    <w:pPr>
      <w:tabs>
        <w:tab w:val="clear" w:pos="720"/>
        <w:tab w:val="right" w:pos="9360" w:leader="dot"/>
      </w:tabs>
      <w:spacing w:before="0" w:after="120"/>
      <w:ind w:hanging="720" w:start="648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BodyText2">
    <w:name w:val="Body Text 2"/>
    <w:basedOn w:val="Normal"/>
    <w:qFormat/>
    <w:pPr/>
    <w:rPr>
      <w:sz w:val="26"/>
    </w:rPr>
  </w:style>
  <w:style w:type="paragraph" w:styleId="BodyTextIndent">
    <w:name w:val="Body Text Indent"/>
    <w:basedOn w:val="Normal"/>
    <w:pPr>
      <w:ind w:firstLine="720" w:start="0" w:end="0"/>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2001-11-21T15:32:00Z</dcterms:created>
  <dc:creator>cgosain</dc:creator>
  <dc:description/>
  <dc:language>en-CA</dc:language>
  <cp:lastModifiedBy>rroberts</cp:lastModifiedBy>
  <cp:lastPrinted>2001-11-21T14:51:00Z</cp:lastPrinted>
  <dcterms:modified xsi:type="dcterms:W3CDTF">2001-11-21T17:23:00Z</dcterms:modified>
  <cp:revision>17</cp:revision>
  <dc:subject/>
  <dc:title>I</dc:title>
</cp:coreProperties>
</file>