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tabs>
          <w:tab w:val="left" w:pos="720" w:leader="none"/>
        </w:tabs>
        <w:bidi w:val="0"/>
        <w:jc w:val="start"/>
        <w:rPr>
          <w:sz w:val="24"/>
        </w:rPr>
      </w:pPr>
      <w:r>
        <w:rPr>
          <w:b/>
          <w:sz w:val="24"/>
        </w:rPr>
        <w:t>Enron fulfilled all of its obligations and played by the rules.    There was no threat</w:t>
      </w:r>
      <w:r>
        <w:rPr>
          <w:sz w:val="24"/>
        </w:rPr>
        <w:t xml:space="preserve"> </w:t>
      </w:r>
      <w:r>
        <w:rPr>
          <w:b/>
          <w:sz w:val="24"/>
        </w:rPr>
        <w:t>to reliability.    There was no economic impact.</w:t>
      </w:r>
      <w:r>
        <w:rPr>
          <w:sz w:val="24"/>
        </w:rPr>
        <w:t xml:space="preserve">    </w:t>
      </w:r>
    </w:p>
    <w:p>
      <w:pPr>
        <w:pStyle w:val="Normal"/>
        <w:bidi w:val="0"/>
        <w:jc w:val="start"/>
        <w:rPr>
          <w:sz w:val="24"/>
        </w:rPr>
      </w:pPr>
      <w:r>
        <w:rPr>
          <w:sz w:val="24"/>
        </w:rPr>
      </w:r>
    </w:p>
    <w:p>
      <w:pPr>
        <w:pStyle w:val="Normal"/>
        <w:numPr>
          <w:ilvl w:val="0"/>
          <w:numId w:val="1"/>
        </w:numPr>
        <w:tabs>
          <w:tab w:val="left" w:pos="720" w:leader="none"/>
        </w:tabs>
        <w:bidi w:val="0"/>
        <w:jc w:val="start"/>
        <w:rPr>
          <w:b/>
          <w:sz w:val="24"/>
        </w:rPr>
      </w:pPr>
      <w:r>
        <w:rPr>
          <w:b/>
          <w:sz w:val="24"/>
        </w:rPr>
        <w:t xml:space="preserve">The facts are on our side.    </w:t>
      </w:r>
    </w:p>
    <w:p>
      <w:pPr>
        <w:pStyle w:val="Normal"/>
        <w:bidi w:val="0"/>
        <w:jc w:val="start"/>
        <w:rPr>
          <w:sz w:val="24"/>
        </w:rPr>
      </w:pPr>
      <w:r>
        <w:rPr>
          <w:sz w:val="24"/>
        </w:rPr>
      </w:r>
    </w:p>
    <w:p>
      <w:pPr>
        <w:pStyle w:val="Normal"/>
        <w:bidi w:val="0"/>
        <w:jc w:val="start"/>
        <w:rPr>
          <w:sz w:val="24"/>
        </w:rPr>
      </w:pPr>
      <w:r>
        <w:rPr>
          <w:sz w:val="24"/>
        </w:rPr>
        <w:t>On May 24, 1999, Enron offered a 2,900 MW power schedule thorough a 15 MW transmission line to the Cal PX for delivery on May 25, 1999.</w:t>
      </w:r>
      <w:r>
        <w:rPr>
          <w:rStyle w:val="FootnoteReference"/>
          <w:sz w:val="24"/>
        </w:rPr>
        <w:footnoteReference w:id="2"/>
      </w:r>
      <w:r>
        <w:rPr>
          <w:sz w:val="24"/>
        </w:rPr>
        <w:t xml:space="preserve">    The Cal PX accepted our offer for 2,900 MW in hours 8 – 22 and 2,381 MW in hour 7.    The Cal PX submitted the schedule to the California ISO.    The schedule created the potential for congestion.    Enron expected that other market participants would schedule power to eliminate the congestion.    They did not.    The California ISO implemented its congestion management process to handle the power flows. </w:t>
      </w:r>
    </w:p>
    <w:p>
      <w:pPr>
        <w:pStyle w:val="Normal"/>
        <w:bidi w:val="0"/>
        <w:jc w:val="start"/>
        <w:rPr>
          <w:sz w:val="24"/>
        </w:rPr>
      </w:pPr>
      <w:r>
        <w:rPr>
          <w:sz w:val="24"/>
        </w:rPr>
      </w:r>
    </w:p>
    <w:p>
      <w:pPr>
        <w:pStyle w:val="Normal"/>
        <w:numPr>
          <w:ilvl w:val="0"/>
          <w:numId w:val="1"/>
        </w:numPr>
        <w:tabs>
          <w:tab w:val="left" w:pos="720" w:leader="none"/>
        </w:tabs>
        <w:bidi w:val="0"/>
        <w:jc w:val="start"/>
        <w:rPr>
          <w:b/>
          <w:sz w:val="24"/>
        </w:rPr>
      </w:pPr>
      <w:r>
        <w:rPr>
          <w:b/>
          <w:sz w:val="24"/>
        </w:rPr>
        <w:t xml:space="preserve">Enron did not violate any tariff or rule of either the Cal PX or the California ISO. </w:t>
      </w:r>
    </w:p>
    <w:p>
      <w:pPr>
        <w:pStyle w:val="Normal"/>
        <w:bidi w:val="0"/>
        <w:jc w:val="start"/>
        <w:rPr>
          <w:sz w:val="24"/>
        </w:rPr>
      </w:pPr>
      <w:r>
        <w:rPr>
          <w:sz w:val="24"/>
        </w:rPr>
      </w:r>
    </w:p>
    <w:p>
      <w:pPr>
        <w:pStyle w:val="Normal"/>
        <w:bidi w:val="0"/>
        <w:jc w:val="start"/>
        <w:rPr>
          <w:sz w:val="24"/>
        </w:rPr>
      </w:pPr>
      <w:r>
        <w:rPr>
          <w:sz w:val="24"/>
        </w:rPr>
        <w:t xml:space="preserve">The Cal PX submitted Enron’s schedule (acting as Enron’s Scheduling Coordinator) to the California ISO. The California ISO accepted Enron’s schedule. </w:t>
      </w:r>
    </w:p>
    <w:p>
      <w:pPr>
        <w:pStyle w:val="Normal"/>
        <w:bidi w:val="0"/>
        <w:jc w:val="start"/>
        <w:rPr>
          <w:sz w:val="24"/>
        </w:rPr>
      </w:pPr>
      <w:r>
        <w:rPr>
          <w:sz w:val="24"/>
        </w:rPr>
      </w:r>
    </w:p>
    <w:p>
      <w:pPr>
        <w:pStyle w:val="Normal"/>
        <w:bidi w:val="0"/>
        <w:jc w:val="start"/>
        <w:rPr>
          <w:sz w:val="24"/>
        </w:rPr>
      </w:pPr>
      <w:r>
        <w:rPr>
          <w:sz w:val="24"/>
        </w:rPr>
        <w:t xml:space="preserve">Enron devotes extraordinary resources to assure that it complies with all tariffs and scheduling protocols.    Enron has become the world’s leading marketer of electricity and natural gas by offering the best services at the best prices to customers and by working within the rules.    </w:t>
      </w:r>
    </w:p>
    <w:p>
      <w:pPr>
        <w:pStyle w:val="Normal"/>
        <w:bidi w:val="0"/>
        <w:jc w:val="start"/>
        <w:rPr>
          <w:sz w:val="24"/>
        </w:rPr>
      </w:pPr>
      <w:r>
        <w:rPr>
          <w:sz w:val="24"/>
        </w:rPr>
      </w:r>
    </w:p>
    <w:p>
      <w:pPr>
        <w:pStyle w:val="BodyText"/>
        <w:bidi w:val="0"/>
        <w:jc w:val="start"/>
        <w:rPr>
          <w:rFonts w:ascii="Times New Roman" w:hAnsi="Times New Roman"/>
        </w:rPr>
      </w:pPr>
      <w:r>
        <w:rPr/>
        <w:t>Anomalous schedules and nominations occur on a daily basis in all commodity markets.    Efficient markets deal with over and under schedules without a problem.    Enron believes that this issue highlights a flaw in the Cal PX operations and the fact that the Cal PX must do a better job of addressing these issues.    Enron has worked and continues to work with the Cal PX to improve the California electricity market.</w:t>
      </w:r>
    </w:p>
    <w:p>
      <w:pPr>
        <w:pStyle w:val="Normal"/>
        <w:bidi w:val="0"/>
        <w:jc w:val="start"/>
        <w:rPr>
          <w:sz w:val="24"/>
        </w:rPr>
      </w:pPr>
      <w:r>
        <w:rPr>
          <w:sz w:val="24"/>
        </w:rPr>
      </w:r>
    </w:p>
    <w:p>
      <w:pPr>
        <w:pStyle w:val="Normal"/>
        <w:numPr>
          <w:ilvl w:val="0"/>
          <w:numId w:val="1"/>
        </w:numPr>
        <w:tabs>
          <w:tab w:val="left" w:pos="720" w:leader="none"/>
        </w:tabs>
        <w:bidi w:val="0"/>
        <w:jc w:val="start"/>
        <w:rPr>
          <w:b/>
          <w:sz w:val="24"/>
        </w:rPr>
      </w:pPr>
      <w:r>
        <w:rPr>
          <w:b/>
          <w:sz w:val="24"/>
        </w:rPr>
        <w:t xml:space="preserve">The Cal PX has singled out Enron for punishment with the apparent intent to discredit us in the marketplace. </w:t>
      </w:r>
    </w:p>
    <w:p>
      <w:pPr>
        <w:pStyle w:val="Normal"/>
        <w:bidi w:val="0"/>
        <w:jc w:val="start"/>
        <w:rPr>
          <w:sz w:val="24"/>
        </w:rPr>
      </w:pPr>
      <w:r>
        <w:rPr>
          <w:sz w:val="24"/>
        </w:rPr>
      </w:r>
    </w:p>
    <w:p>
      <w:pPr>
        <w:pStyle w:val="Normal"/>
        <w:bidi w:val="0"/>
        <w:jc w:val="start"/>
        <w:rPr>
          <w:sz w:val="24"/>
        </w:rPr>
      </w:pPr>
      <w:r>
        <w:rPr>
          <w:sz w:val="24"/>
        </w:rPr>
        <w:t xml:space="preserve">The Cal PX is Enron’s direct competitor in the electricity marketplace.    The Cal PX has not publicly identified and examined scheduling and market power issues.    We are mystified that our competitor, the Cal PX, believes that it has the authority to be judge and jury.    The tariff does not give the Cal PX the ability to act in this fashion.    </w:t>
      </w:r>
    </w:p>
    <w:p>
      <w:pPr>
        <w:pStyle w:val="Normal"/>
        <w:bidi w:val="0"/>
        <w:jc w:val="start"/>
        <w:rPr>
          <w:sz w:val="24"/>
        </w:rPr>
      </w:pPr>
      <w:r>
        <w:rPr>
          <w:sz w:val="24"/>
        </w:rPr>
      </w:r>
    </w:p>
    <w:p>
      <w:pPr>
        <w:pStyle w:val="BodyText"/>
        <w:bidi w:val="0"/>
        <w:jc w:val="start"/>
        <w:rPr>
          <w:rFonts w:ascii="Times New Roman" w:hAnsi="Times New Roman"/>
        </w:rPr>
      </w:pPr>
      <w:r>
        <w:rPr/>
        <w:t>What is the Cal PX?    The Cal PX is the state-created spot market for electricity established by AB1890.    All California Investor-Owned Utilities are required to buy and sell all of their power needs through the Cal PX.    Approximately 80-90 percent of the electricity consumed in California goes through the Cal PX.</w:t>
      </w:r>
    </w:p>
    <w:p>
      <w:pPr>
        <w:pStyle w:val="Normal"/>
        <w:bidi w:val="0"/>
        <w:jc w:val="start"/>
        <w:rPr>
          <w:sz w:val="24"/>
        </w:rPr>
      </w:pPr>
      <w:r>
        <w:rPr>
          <w:sz w:val="24"/>
        </w:rPr>
      </w:r>
    </w:p>
    <w:p>
      <w:pPr>
        <w:pStyle w:val="Normal"/>
        <w:numPr>
          <w:ilvl w:val="0"/>
          <w:numId w:val="1"/>
        </w:numPr>
        <w:tabs>
          <w:tab w:val="left" w:pos="720" w:leader="none"/>
        </w:tabs>
        <w:bidi w:val="0"/>
        <w:jc w:val="start"/>
        <w:rPr>
          <w:b/>
          <w:sz w:val="24"/>
        </w:rPr>
      </w:pPr>
      <w:r>
        <w:rPr>
          <w:b/>
          <w:sz w:val="24"/>
        </w:rPr>
        <w:t xml:space="preserve">A settlement gets this behind us and lets us focus on what we do best:    bringing low cost electricity to California consumers.    </w:t>
      </w:r>
    </w:p>
    <w:p>
      <w:pPr>
        <w:pStyle w:val="Normal"/>
        <w:bidi w:val="0"/>
        <w:jc w:val="start"/>
        <w:rPr>
          <w:sz w:val="24"/>
        </w:rPr>
      </w:pPr>
      <w:r>
        <w:rPr>
          <w:sz w:val="24"/>
        </w:rPr>
      </w:r>
    </w:p>
    <w:p>
      <w:pPr>
        <w:pStyle w:val="Normal"/>
        <w:bidi w:val="0"/>
        <w:jc w:val="start"/>
        <w:rPr>
          <w:sz w:val="24"/>
        </w:rPr>
      </w:pPr>
      <w:r>
        <w:rPr>
          <w:sz w:val="24"/>
        </w:rPr>
        <w:t>We settled this issue with the Cal PX to remove a nuisance and a distraction that was impairing our ability to bring low cost power to California consumers.    We agreed to pay $25,000 to offset the Cal PX expenses.</w:t>
      </w:r>
    </w:p>
    <w:p>
      <w:pPr>
        <w:pStyle w:val="Normal"/>
        <w:bidi w:val="0"/>
        <w:jc w:val="start"/>
        <w:rPr>
          <w:sz w:val="24"/>
        </w:rPr>
      </w:pPr>
      <w:r>
        <w:rPr>
          <w:sz w:val="24"/>
        </w:rPr>
      </w:r>
    </w:p>
    <w:p>
      <w:pPr>
        <w:pStyle w:val="BodyText2"/>
        <w:numPr>
          <w:ilvl w:val="0"/>
          <w:numId w:val="1"/>
        </w:numPr>
        <w:tabs>
          <w:tab w:val="left" w:pos="720" w:leader="none"/>
        </w:tabs>
        <w:bidi w:val="0"/>
        <w:jc w:val="start"/>
        <w:rPr>
          <w:rFonts w:ascii="Times New Roman" w:hAnsi="Times New Roman"/>
          <w:b/>
        </w:rPr>
      </w:pPr>
      <w:r>
        <w:rPr>
          <w:b/>
        </w:rPr>
        <w:t>Enron wants the electricity market to work.</w:t>
      </w:r>
    </w:p>
    <w:p>
      <w:pPr>
        <w:pStyle w:val="BodyText2"/>
        <w:bidi w:val="0"/>
        <w:ind w:hanging="0" w:start="0"/>
        <w:jc w:val="start"/>
        <w:rPr>
          <w:rFonts w:ascii="Times New Roman" w:hAnsi="Times New Roman"/>
        </w:rPr>
      </w:pPr>
      <w:r>
        <w:rPr/>
      </w:r>
    </w:p>
    <w:p>
      <w:pPr>
        <w:pStyle w:val="BodyText2"/>
        <w:bidi w:val="0"/>
        <w:ind w:hanging="0" w:start="0"/>
        <w:jc w:val="start"/>
        <w:rPr>
          <w:rFonts w:ascii="Times New Roman" w:hAnsi="Times New Roman"/>
        </w:rPr>
      </w:pPr>
      <w:r>
        <w:rPr/>
        <w:t xml:space="preserve">Enron stands ready to work with the Cal PX to improve the California electricity markets. </w:t>
      </w:r>
    </w:p>
    <w:sectPr>
      <w:headerReference w:type="even" r:id="rId2"/>
      <w:headerReference w:type="default" r:id="rId3"/>
      <w:headerReference w:type="first" r:id="rId4"/>
      <w:footnotePr>
        <w:numFmt w:val="decimal"/>
      </w:footnotePr>
      <w:type w:val="nextPage"/>
      <w:pgSz w:w="12240" w:h="15840"/>
      <w:pgMar w:left="1440" w:right="1440" w:gutter="0" w:header="72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bidi w:val="0"/>
        <w:jc w:val="start"/>
        <w:rPr/>
      </w:pPr>
      <w:r>
        <w:rPr>
          <w:rStyle w:val="FootnoteCharacters"/>
        </w:rPr>
        <w:footnoteRef/>
      </w:r>
      <w:r>
        <w:rPr/>
        <w:t xml:space="preserve">   </w:t>
      </w:r>
      <w:r>
        <w:rPr/>
        <w:t xml:space="preserve">The forecast for May 25th was “very mild”.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sz w:val="28"/>
      </w:rPr>
    </w:pPr>
    <w:r>
      <w:rPr>
        <w:b/>
        <w:sz w:val="28"/>
      </w:rPr>
      <w:t>Enron Cal PX Settlement Message Points</w:t>
    </w:r>
  </w:p>
  <w:p>
    <w:pPr>
      <w:pStyle w:val="Header"/>
      <w:bidi w:val="0"/>
      <w:jc w:val="start"/>
      <w:rPr>
        <w:rFonts w:ascii="Times New Roman" w:hAnsi="Times New Roman"/>
        <w:i/>
        <w:i/>
      </w:rPr>
    </w:pPr>
    <w:r>
      <w:rPr>
        <w:i/>
      </w:rPr>
      <w:t>Not for external distribution as a document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sz w:val="28"/>
      </w:rPr>
    </w:pPr>
    <w:r>
      <w:rPr>
        <w:b/>
        <w:sz w:val="28"/>
      </w:rPr>
      <w:t>Enron Cal PX Settlement Message Points</w:t>
    </w:r>
  </w:p>
  <w:p>
    <w:pPr>
      <w:pStyle w:val="Header"/>
      <w:bidi w:val="0"/>
      <w:jc w:val="start"/>
      <w:rPr>
        <w:rFonts w:ascii="Times New Roman" w:hAnsi="Times New Roman"/>
        <w:i/>
        <w:i/>
      </w:rPr>
    </w:pPr>
    <w:r>
      <w:rPr>
        <w:i/>
      </w:rPr>
      <w:t>Not for external distribution as a document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CA"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0"/>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widowControl/>
      <w:ind w:hanging="720" w:start="720"/>
    </w:pPr>
    <w:rPr/>
  </w:style>
  <w:style w:type="paragraph" w:styleId="FootnoteText">
    <w:name w:val="footnote text"/>
    <w:basedOn w:val="Normal"/>
    <w:pPr>
      <w:widowContro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400</Words>
  <Characters>2806</Characters>
  <CharactersWithSpaces>2285</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2000-04-27T13:33:00Z</dcterms:created>
  <dc:creator>jsteffe</dc:creator>
  <dc:description/>
  <dc:language>en-CA</dc:language>
  <cp:lastModifiedBy/>
  <dcterms:modified xsi:type="dcterms:W3CDTF">2000-04-27T13:33:00Z</dcterms:modified>
  <cp:revision>2</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jsteffe</vt:lpwstr>
  </property>
</Properties>
</file>