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80" w:type="dxa"/>
        <w:jc w:val="start"/>
        <w:tblInd w:w="-45" w:type="dxa"/>
        <w:tblLayout w:type="fixed"/>
        <w:tblCellMar>
          <w:top w:w="75" w:type="dxa"/>
          <w:start w:w="75" w:type="dxa"/>
          <w:bottom w:w="75" w:type="dxa"/>
          <w:end w:w="75" w:type="dxa"/>
        </w:tblCellMar>
      </w:tblPr>
      <w:tblGrid>
        <w:gridCol w:w="8880"/>
      </w:tblGrid>
      <w:tr>
        <w:trPr/>
        <w:tc>
          <w:tcPr>
            <w:tcW w:w="8880" w:type="dxa"/>
            <w:tcBorders/>
            <w:vAlign w:val="center"/>
          </w:tcPr>
          <w:p>
            <w:pPr>
              <w:pStyle w:val="Normal"/>
              <w:rPr/>
            </w:pPr>
            <w:r>
              <w:rPr/>
              <w:drawing>
                <wp:inline distT="0" distB="0" distL="0" distR="0">
                  <wp:extent cx="9525" cy="476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47625"/>
                          </a:xfrm>
                          <a:prstGeom prst="rect">
                            <a:avLst/>
                          </a:prstGeom>
                          <a:noFill/>
                        </pic:spPr>
                      </pic:pic>
                    </a:graphicData>
                  </a:graphic>
                </wp:inline>
              </w:drawing>
            </w:r>
            <w:r>
              <w:rPr/>
              <w:br/>
            </w:r>
          </w:p>
          <w:p>
            <w:pPr>
              <w:pStyle w:val="Normal"/>
              <w:jc w:val="end"/>
              <w:rPr>
                <w:color w:val="0000FF"/>
              </w:rPr>
            </w:pPr>
            <w:r>
              <w:rPr>
                <w:color w:val="0000FF"/>
              </w:rPr>
              <w:drawing>
                <wp:inline distT="0" distB="0" distL="0" distR="0">
                  <wp:extent cx="1352550" cy="180975"/>
                  <wp:effectExtent l="0" t="0" r="0" b="0"/>
                  <wp:docPr id="2" name="b-forprint" descr="" titl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orprint" descr="" title="">
                            <a:hlinkClick r:id="rId4"/>
                          </pic:cNvPr>
                          <pic:cNvPicPr>
                            <a:picLocks noChangeAspect="1" noChangeArrowheads="1"/>
                          </pic:cNvPicPr>
                        </pic:nvPicPr>
                        <pic:blipFill>
                          <a:blip r:embed="rId3"/>
                          <a:srcRect l="-27" t="-199" r="-27" b="-199"/>
                          <a:stretch>
                            <a:fillRect/>
                          </a:stretch>
                        </pic:blipFill>
                        <pic:spPr bwMode="auto">
                          <a:xfrm>
                            <a:off x="0" y="0"/>
                            <a:ext cx="1352550" cy="180975"/>
                          </a:xfrm>
                          <a:prstGeom prst="rect">
                            <a:avLst/>
                          </a:prstGeom>
                          <a:noFill/>
                        </pic:spPr>
                      </pic:pic>
                    </a:graphicData>
                  </a:graphic>
                </wp:inline>
              </w:drawing>
            </w:r>
          </w:p>
          <w:p>
            <w:pPr>
              <w:pStyle w:val="Normal"/>
              <w:rPr/>
            </w:pPr>
            <w:r>
              <w:rPr/>
              <w:br/>
            </w:r>
            <w:r>
              <w:rPr>
                <w:color w:val="0000FF"/>
              </w:rPr>
              <w:drawing>
                <wp:inline distT="0" distB="0" distL="0" distR="0">
                  <wp:extent cx="1657350" cy="219075"/>
                  <wp:effectExtent l="0" t="0" r="0" b="0"/>
                  <wp:docPr id="3" name="powermkt" descr="" tit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mkt" descr="" title="">
                            <a:hlinkClick r:id="rId6"/>
                          </pic:cNvPr>
                          <pic:cNvPicPr>
                            <a:picLocks noChangeAspect="1" noChangeArrowheads="1"/>
                          </pic:cNvPicPr>
                        </pic:nvPicPr>
                        <pic:blipFill>
                          <a:blip r:embed="rId5"/>
                          <a:srcRect l="-22" t="-164" r="-22" b="-164"/>
                          <a:stretch>
                            <a:fillRect/>
                          </a:stretch>
                        </pic:blipFill>
                        <pic:spPr bwMode="auto">
                          <a:xfrm>
                            <a:off x="0" y="0"/>
                            <a:ext cx="1657350" cy="219075"/>
                          </a:xfrm>
                          <a:prstGeom prst="rect">
                            <a:avLst/>
                          </a:prstGeom>
                          <a:noFill/>
                        </pic:spPr>
                      </pic:pic>
                    </a:graphicData>
                  </a:graphic>
                </wp:inline>
              </w:drawing>
            </w:r>
            <w:r>
              <w:rPr/>
              <w:br/>
              <w:t xml:space="preserve">MARKET REPORT: Markets--West </w:t>
              <w:br/>
            </w:r>
            <w:r>
              <w:rPr>
                <w:b/>
                <w:bCs/>
              </w:rPr>
              <w:t>CAL-ISO STOPS PROVIDING OUTAGE, TRANSMISSION INFORMATION TO WSCC</w:t>
            </w:r>
            <w:r>
              <w:rPr/>
              <w:br/>
              <w:t xml:space="preserve">  </w:t>
              <w:br/>
              <w:t xml:space="preserve">10/23/2000 </w:t>
              <w:br/>
              <w:t xml:space="preserve">Power Markets Week </w:t>
              <w:br/>
              <w:t xml:space="preserve">Page 19 </w:t>
              <w:br/>
              <w:t xml:space="preserve">Copyright 2000 McGraw-Hill. Reproduction forbidden without permission. </w:t>
            </w:r>
          </w:p>
          <w:p>
            <w:pPr>
              <w:pStyle w:val="NormalWeb"/>
              <w:rPr/>
            </w:pPr>
            <w:r>
              <w:rPr/>
              <w:t xml:space="preserve">The California Independent System Operator stopped supplying real-time generation and transmission information to the Western System Coordinating Council last week because of fears that the sensitive market information is being used to game the California Market. </w:t>
            </w:r>
          </w:p>
          <w:p>
            <w:pPr>
              <w:pStyle w:val="NormalWeb"/>
              <w:rPr/>
            </w:pPr>
            <w:r>
              <w:rPr/>
              <w:t xml:space="preserve">``[The] information allows generators immediately to exploit temporary locational market power that may be created by short-term transmission or generation outages on the grid,'' ISO Chief Operations Officer Kellan Fluckiger said in a letter to the WSCC. ``Such data can be used by generation owners to create, and then profit from, inter-zonal and intra-zonal congestion in real-time.'' </w:t>
            </w:r>
          </w:p>
          <w:p>
            <w:pPr>
              <w:pStyle w:val="NormalWeb"/>
              <w:rPr/>
            </w:pPr>
            <w:r>
              <w:rPr/>
              <w:t xml:space="preserve">The data in question includes real-time status of transmission of 138 kV or more and all generating units greater than 300 MW. The information the WSCC has been publishing on its Internet website had allowed western traders to learn about outages as the units trip. As of Oct. 16, the ISO was supplying that data with 90-day lag. </w:t>
            </w:r>
          </w:p>
          <w:p>
            <w:pPr>
              <w:pStyle w:val="NormalWeb"/>
              <w:rPr/>
            </w:pPr>
            <w:r>
              <w:rPr/>
              <w:t xml:space="preserve">The ISO believes that information should be restricted to security coordinators and essential operations personnel in neighboring control areas, though they will be able to gain access to the information only after signing confidentiality and use agreements with the ISO, the letter said. </w:t>
            </w:r>
          </w:p>
          <w:p>
            <w:pPr>
              <w:pStyle w:val="NormalWeb"/>
              <w:rPr/>
            </w:pPr>
            <w:r>
              <w:rPr/>
              <w:t xml:space="preserve">The ISO is the first group to pull their information from the website, but other control areas are expected to follow because of competitive interests, sources said. </w:t>
            </w:r>
          </w:p>
          <w:p>
            <w:pPr>
              <w:pStyle w:val="NormalWeb"/>
              <w:rPr/>
            </w:pPr>
            <w:r>
              <w:rPr/>
              <w:t xml:space="preserve">The WSCC has made available real-time generation and transmission information to all market participants for more than a year on its website. The data collection by the WSCC predates deregulation and was done for reliability purposes. </w:t>
            </w:r>
          </w:p>
          <w:p>
            <w:pPr>
              <w:pStyle w:val="NormalWeb"/>
              <w:rPr/>
            </w:pPr>
            <w:r>
              <w:rPr/>
              <w:t xml:space="preserve">The WSCC started making the information available to all parties because of Federal Energy Regulator Commission order 889, which said that the information had to be given to all marketing entities at the same time. Not all control area operators in the West are separated from their marketing side and to comply with the order the WSCC decided to give the information to everyone, a WSCC spokesman said. </w:t>
            </w:r>
          </w:p>
          <w:p>
            <w:pPr>
              <w:pStyle w:val="NormalWeb"/>
              <w:spacing w:before="280" w:after="0"/>
              <w:rPr/>
            </w:pPr>
            <w:r>
              <w:rPr/>
              <w:b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javascript:eFormatPrint()" TargetMode="External"/><Relationship Id="rId5" Type="http://schemas.openxmlformats.org/officeDocument/2006/relationships/image" Target="media/image3.png"/><Relationship Id="rId6" Type="http://schemas.openxmlformats.org/officeDocument/2006/relationships/hyperlink" Target="http://nrstg1s.djnr.com/cgi-bin/DJInteractive?cgi=WEB_PUB_DETAILS&amp;GJANum=684707280&amp;page=st_channels/pubdetails&amp;SC=PMW&amp;NEWSC=PMW&amp;Single=On&amp;logo=ye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2000-12-04T18:27:00Z</dcterms:created>
  <dc:creator>mbuster</dc:creator>
  <dc:description/>
  <dc:language>en-CA</dc:language>
  <cp:lastModifiedBy>mbuster</cp:lastModifiedBy>
  <dcterms:modified xsi:type="dcterms:W3CDTF">2000-12-04T18:29:00Z</dcterms:modified>
  <cp:revision>1</cp:revision>
  <dc:subject/>
  <dc:title> </dc:title>
</cp:coreProperties>
</file>