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color w:val="0000FF"/>
        </w:rPr>
        <w:drawing>
          <wp:inline distT="0" distB="0" distL="0" distR="0">
            <wp:extent cx="1343025" cy="161925"/>
            <wp:effectExtent l="0" t="0" r="0" b="0"/>
            <wp:docPr id="1" name="reuters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uters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7" t="-222" r="-27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br/>
      </w:r>
      <w:r>
        <w:rPr>
          <w:b/>
          <w:bCs/>
        </w:rPr>
        <w:t>USA: CalPX welcomes FERC report on Calif. power market.</w:t>
      </w:r>
      <w:r>
        <w:rPr/>
        <w:br/>
        <w:t xml:space="preserve">  </w:t>
        <w:br/>
        <w:t xml:space="preserve">11/01/2000 </w:t>
        <w:br/>
        <w:t xml:space="preserve">Reuters English News Service </w:t>
        <w:br/>
        <w:t xml:space="preserve">(C) Reuters Limited 2000. </w:t>
      </w:r>
    </w:p>
    <w:p>
      <w:pPr>
        <w:pStyle w:val="NormalWeb"/>
        <w:rPr/>
      </w:pPr>
      <w:r>
        <w:rPr/>
        <w:t xml:space="preserve">SAN FRANCISCO, Nov 1 (Reuters) - The California Power Exchange gave an initial positive response to a report on the crisis in the state's wholesale electricity market which was issued by federal regulators on Wednesday. </w:t>
      </w:r>
    </w:p>
    <w:p>
      <w:pPr>
        <w:pStyle w:val="NormalWeb"/>
        <w:rPr/>
      </w:pPr>
      <w:r>
        <w:rPr/>
        <w:t xml:space="preserve">George Sladoje, president and chief executive officer of the Pasadena-based exchange, said in a statement that the report was "helpful in highlighting the multitude of market structural and fundamental events that have led to significant price increases in California and the western region." </w:t>
      </w:r>
    </w:p>
    <w:p>
      <w:pPr>
        <w:pStyle w:val="NormalWeb"/>
        <w:rPr/>
      </w:pPr>
      <w:r>
        <w:rPr/>
        <w:t xml:space="preserve">The U.S. Federal Energy Regulatory Commission (FERC) earlier Wednesday approved a series of reforms, several of which impacted CalPX, an exchange created under the state's trailblazing deregulation legislation. </w:t>
      </w:r>
    </w:p>
    <w:p>
      <w:pPr>
        <w:pStyle w:val="NormalWeb"/>
        <w:rPr/>
      </w:pPr>
      <w:r>
        <w:rPr/>
        <w:t xml:space="preserve">Among FERC's provisions was an end to a requirement that the state's three investor-owned utilities, PG&amp;E Corp.'s Pacific Gas and Electric, Edison International unit Southern California Edison, and Sempra Energy subsidiary San Diego Gas and Electric, buy all their power on CalPX. </w:t>
      </w:r>
    </w:p>
    <w:p>
      <w:pPr>
        <w:pStyle w:val="NormalWeb"/>
        <w:rPr/>
      </w:pPr>
      <w:r>
        <w:rPr/>
        <w:t xml:space="preserve">"The proposed elimination of the mandatory must buy-sell requirement is consistent with independent governance and the market and regulatory flexibility that the CalPX had anticipated," Sladoje said. </w:t>
      </w:r>
    </w:p>
    <w:p>
      <w:pPr>
        <w:pStyle w:val="NormalWeb"/>
        <w:rPr/>
      </w:pPr>
      <w:r>
        <w:rPr/>
        <w:t xml:space="preserve">The utilities' CalPX buy mandate was introduced as part of California's power deregulation plan in a bid to ensure liquidity at the then newly formed exchange, but it had already been partially relaxed by state regulators. </w:t>
      </w:r>
    </w:p>
    <w:p>
      <w:pPr>
        <w:pStyle w:val="NormalWeb"/>
        <w:rPr/>
      </w:pPr>
      <w:r>
        <w:rPr/>
        <w:t xml:space="preserve">FERC also proposed that the exchange appoint an independent board of directors. Currently, the CalPX board is made up of representatives of a variety of groups which have a stake in the exchange's operations, including electric utilities and independent power producers. </w:t>
      </w:r>
    </w:p>
    <w:p>
      <w:pPr>
        <w:pStyle w:val="NormalWeb"/>
        <w:rPr/>
      </w:pPr>
      <w:r>
        <w:rPr/>
        <w:t xml:space="preserve">Federal regulators also approved changes to CalPX's day-ahead price auction, capping its clearing price at $150 per megawatt hour (MWh). </w:t>
      </w:r>
    </w:p>
    <w:p>
      <w:pPr>
        <w:pStyle w:val="NormalWeb"/>
        <w:rPr/>
      </w:pPr>
      <w:r>
        <w:rPr/>
        <w:t xml:space="preserve">If insufficient power is obtained at $150, then bids above that level would be accepted but sellers would be required to send a report to FERC containing certain cost information. </w:t>
      </w:r>
    </w:p>
    <w:p>
      <w:pPr>
        <w:pStyle w:val="NormalWeb"/>
        <w:rPr/>
      </w:pPr>
      <w:r>
        <w:rPr/>
        <w:t xml:space="preserve">Previously all suppliers received the same clearing price. </w:t>
      </w:r>
    </w:p>
    <w:p>
      <w:pPr>
        <w:pStyle w:val="NormalWeb"/>
        <w:rPr/>
      </w:pPr>
      <w:r>
        <w:rPr/>
        <w:t xml:space="preserve">There was no immediate response to the FERC report from the California Independent System Operator (ISO), which manages most of the California power grid. </w:t>
      </w:r>
    </w:p>
    <w:p>
      <w:pPr>
        <w:pStyle w:val="NormalWeb"/>
        <w:rPr/>
      </w:pPr>
      <w:r>
        <w:rPr/>
        <w:t xml:space="preserve">The state's investor owned utilities were studying the report and were expected to make statements later in the day. </w:t>
      </w:r>
    </w:p>
    <w:p>
      <w:pPr>
        <w:pStyle w:val="NormalWeb"/>
        <w:rPr/>
      </w:pPr>
      <w:r>
        <w:rPr/>
        <w:t xml:space="preserve">The California Public Utilities Commission, which regulates the investor-owned utilities, could not comment on the FERC report Wednesday morning. </w:t>
      </w:r>
    </w:p>
    <w:p>
      <w:pPr>
        <w:pStyle w:val="NormalWeb"/>
        <w:rPr/>
      </w:pPr>
      <w:r>
        <w:rPr/>
        <w:t xml:space="preserve">FERC launched an investigation into California's power markets after prices soared to record levels earlier this year, sparking some accusations of price gouging by generators. </w:t>
      </w:r>
    </w:p>
    <w:p>
      <w:pPr>
        <w:pStyle w:val="NormalWeb"/>
        <w:rPr/>
      </w:pPr>
      <w:r>
        <w:rPr/>
        <w:t xml:space="preserve">The state's problems are rooted in surging demand in the U.S. West linked to the region's buoyant economy. </w:t>
      </w:r>
    </w:p>
    <w:p>
      <w:pPr>
        <w:pStyle w:val="NormalWeb"/>
        <w:rPr/>
      </w:pPr>
      <w:r>
        <w:rPr/>
        <w:t>There are also been no significant new power plants built in California during the last decade and although many are now planned, few will come on line before 2002.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nrstg2s.djnr.com/cgi-bin/DJInteractive?cgi=WEB_PUB_DETAILS&amp;GJANum=300389445&amp;page=st_channels/pubdetails&amp;SC=RTR&amp;NEWSC=RTR&amp;Single=On&amp;logo=ye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2000-11-01T17:31:00Z</dcterms:created>
  <dc:creator>mbuster</dc:creator>
  <dc:description/>
  <dc:language>en-CA</dc:language>
  <cp:lastModifiedBy>mbuster</cp:lastModifiedBy>
  <dcterms:modified xsi:type="dcterms:W3CDTF">2000-11-01T17:35:00Z</dcterms:modified>
  <cp:revision>1</cp:revision>
  <dc:subject/>
  <dc:title> </dc:title>
</cp:coreProperties>
</file>