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lang w:val="en-CA"/>
        </w:rPr>
      </w:pPr>
      <w:r>
        <w:rPr>
          <w:lang w:val="en-CA"/>
        </w:rPr>
        <w:drawing>
          <wp:anchor behindDoc="0" distT="0" distB="0" distL="114935" distR="114935" simplePos="0" locked="0" layoutInCell="0" allowOverlap="1" relativeHeight="2">
            <wp:simplePos x="0" y="0"/>
            <wp:positionH relativeFrom="column">
              <wp:posOffset>-137160</wp:posOffset>
            </wp:positionH>
            <wp:positionV relativeFrom="paragraph">
              <wp:posOffset>635</wp:posOffset>
            </wp:positionV>
            <wp:extent cx="1188720" cy="831850"/>
            <wp:effectExtent l="0" t="0" r="0" b="0"/>
            <wp:wrapTopAndBottom/>
            <wp:docPr id="1" name="PX%20stack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X%20stacked" descr="" title=""/>
                    <pic:cNvPicPr>
                      <a:picLocks noChangeAspect="1" noChangeArrowheads="1"/>
                    </pic:cNvPicPr>
                  </pic:nvPicPr>
                  <pic:blipFill>
                    <a:blip r:embed="rId2"/>
                    <a:srcRect l="-15" t="-23" r="-15" b="-23"/>
                    <a:stretch>
                      <a:fillRect/>
                    </a:stretch>
                  </pic:blipFill>
                  <pic:spPr bwMode="auto">
                    <a:xfrm>
                      <a:off x="0" y="0"/>
                      <a:ext cx="1188720" cy="831850"/>
                    </a:xfrm>
                    <a:prstGeom prst="rect">
                      <a:avLst/>
                    </a:prstGeom>
                    <a:noFill/>
                  </pic:spPr>
                </pic:pic>
              </a:graphicData>
            </a:graphic>
          </wp:anchor>
        </w:drawing>
      </w:r>
    </w:p>
    <w:p>
      <w:pPr>
        <w:pStyle w:val="BodyText"/>
        <w:rPr/>
      </w:pPr>
      <w:r>
        <w:rPr/>
        <w:t>“</w:t>
      </w:r>
      <w:r>
        <w:rPr/>
        <w:t>With No Response from FERC, CalPX Files Emergency Motion and Petition with the United States Court of Appeals”</w:t>
      </w:r>
    </w:p>
    <w:p>
      <w:pPr>
        <w:pStyle w:val="Normal"/>
        <w:jc w:val="center"/>
        <w:rPr>
          <w:rFonts w:ascii="Times New Roman" w:hAnsi="Times New Roman" w:cs="Times New Roman"/>
          <w:b/>
        </w:rPr>
      </w:pPr>
      <w:r>
        <w:rPr>
          <w:rFonts w:cs="Times New Roman" w:ascii="Times New Roman" w:hAnsi="Times New Roman"/>
          <w:b/>
        </w:rPr>
      </w:r>
    </w:p>
    <w:p>
      <w:pPr>
        <w:pStyle w:val="Heading1"/>
        <w:ind w:hanging="0" w:start="0"/>
        <w:rPr>
          <w:b w:val="false"/>
        </w:rPr>
      </w:pPr>
      <w:r>
        <w:rPr/>
        <w:t>FOR IMMEDIATE RELEASE</w:t>
        <w:tab/>
        <w:tab/>
        <w:tab/>
        <w:t xml:space="preserve">CONTACT: </w:t>
      </w:r>
      <w:r>
        <w:rPr>
          <w:b w:val="false"/>
        </w:rPr>
        <w:t>E. Jesus Arredondo</w:t>
      </w:r>
    </w:p>
    <w:p>
      <w:pPr>
        <w:pStyle w:val="Normal"/>
        <w:rPr/>
      </w:pPr>
      <w:r>
        <w:rPr>
          <w:rFonts w:cs="Times New Roman" w:ascii="Times New Roman" w:hAnsi="Times New Roman"/>
          <w:b/>
        </w:rPr>
        <w:t>Thursday, January 4, 2001</w:t>
      </w:r>
      <w:r>
        <w:rPr>
          <w:rFonts w:cs="Times New Roman" w:ascii="Times New Roman" w:hAnsi="Times New Roman"/>
        </w:rPr>
        <w:tab/>
        <w:tab/>
        <w:tab/>
        <w:tab/>
        <w:tab/>
        <w:t xml:space="preserve">          626.537.3155</w:t>
      </w:r>
    </w:p>
    <w:p>
      <w:pPr>
        <w:pStyle w:val="Normal"/>
        <w:rPr>
          <w:rFonts w:ascii="Times New Roman" w:hAnsi="Times New Roman" w:cs="Times New Roman"/>
        </w:rPr>
      </w:pPr>
      <w:r>
        <w:rPr>
          <w:rFonts w:cs="Times New Roman" w:ascii="Times New Roman" w:hAnsi="Times New Roman"/>
        </w:rPr>
        <w:tab/>
        <w:tab/>
        <w:tab/>
        <w:tab/>
        <w:tab/>
        <w:tab/>
        <w:tab/>
        <w:tab/>
        <w:t xml:space="preserve">          Beth Pendexter</w:t>
        <w:tab/>
      </w:r>
    </w:p>
    <w:p>
      <w:pPr>
        <w:pStyle w:val="Normal"/>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626.537.3154</w:t>
      </w:r>
    </w:p>
    <w:p>
      <w:pPr>
        <w:pStyle w:val="Normal"/>
        <w:jc w:val="start"/>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Pasadena, CA</w:t>
      </w:r>
      <w:r>
        <w:rPr>
          <w:rFonts w:cs="Times New Roman" w:ascii="Times New Roman" w:hAnsi="Times New Roman"/>
        </w:rPr>
        <w:t>- On December 15, 2000, the Federal Energy Regulatory Commission (FERC) issued its Final Order directing remedies for California’s wholesale electric markets.  Regrettably, the California Power Exchange has seen an immediate, negative market response to the order, and has filed an emergency motion and petition with the United States Court of Appeals for a stay of specific aspects of the FERC Order.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w:t>
      </w:r>
      <w:r>
        <w:rPr>
          <w:rFonts w:cs="Times New Roman" w:ascii="Times New Roman" w:hAnsi="Times New Roman"/>
        </w:rPr>
        <w:t>CalPX is requesting this stay on an emergency basis because FERC’s Order is already causing irreparable harm to the state’s wholesale power exchange,” said George Sladoje, CalPX President and CEO.  “We felt an urgent need to take immediate action with the courts given FERC’s failure to respond to our emergency motion and request for a rehearing.”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Specifically, CalPX is requesting a stay on three actions taken by FERC in the December order.  The first is based on FERC’s decision to prohibit California’s three investor owned utilities from participating in CalPX’s Day-Ahead Market.  In doing so, FERC has eliminated at least 50 percent of the volume in the CalPX administered market, threatening market viability and the interests of California consumers.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w:t>
      </w:r>
      <w:r>
        <w:rPr>
          <w:rFonts w:cs="Times New Roman" w:ascii="Times New Roman" w:hAnsi="Times New Roman"/>
        </w:rPr>
        <w:t xml:space="preserve">While FERC has stated unequivocally that, after having eliminated the mandatory aspect of the buy-sell requirement, CalPX should be allowed to function like any other power exchange, it has made that opportunity virtually impossible by forbidding major market participants from participating in our markets even on a voluntary basis,” said Sladoje.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Secondly, CalPX maintains that the FERC has no rational basis and no legal authority to terminate the CalPX tariff and CTS rate schedule.  CTS is the division of CalPX that maintains and operates its forwards market.  Under the FERC Order, as of May 1, 2001, the CTS rate schedule will be terminated.  Since the issuing of the Order, no new business has been conducted in the CTS forwards market due to a lack of confidence among market participants that there will be a substitute schedule under which new, long-term commitments will be enforced.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-MORE-</w:t>
      </w:r>
    </w:p>
    <w:p>
      <w:pPr>
        <w:pStyle w:val="Normal"/>
        <w:rPr/>
      </w:pPr>
      <w:r>
        <w:rPr>
          <w:rFonts w:cs="Times New Roman" w:ascii="Times New Roman" w:hAnsi="Times New Roman"/>
        </w:rPr>
        <w:t>These results directly conflict and contradict FERC’s previously stated goals of increasing the amount of forward purchasing by utilities, encouraging them to enter into long-term contracts for power to avoid the price volatility of the spot market.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Finally, CalPX sees no sustainable basis for applying the $150 price cap, or “breakpoint,” exclusively to its markets, while allowing similar trading forums to operate cap-free, creating a prohibited preference or advantage for those venues.  Moreover, FERC has ordered CalPX alone to undertake significant and costly (estimated at about $1 million) software, market design and billing changes in the very same markets that it has acted to curtail, and has ordered CalPX to do so in a mere fifteen days.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CalPX has urgently requested a stay of the above three components of FERC’s December 15 Order.  If no action is taken, the FERC Order will substantially and irreparably harm CalPX, the markets it administers according to California law, and in the end, the citizens of California.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 copy of the CalPX filing is available on our website at </w:t>
      </w:r>
      <w:r>
        <w:rPr>
          <w:rFonts w:cs="Times New Roman" w:ascii="Times New Roman" w:hAnsi="Times New Roman"/>
          <w:u w:val="single"/>
        </w:rPr>
        <w:t>www.calpx.com</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BodyText2"/>
        <w:jc w:val="center"/>
        <w:rPr>
          <w:i w:val="false"/>
          <w:i w:val="false"/>
        </w:rPr>
      </w:pPr>
      <w:r>
        <w:rPr>
          <w:b/>
          <w:i w:val="false"/>
        </w:rPr>
        <w:t>-30-</w:t>
      </w:r>
    </w:p>
    <w:p>
      <w:pPr>
        <w:pStyle w:val="BodyText2"/>
        <w:rPr>
          <w:i w:val="false"/>
          <w:i w:val="false"/>
        </w:rPr>
      </w:pPr>
      <w:r>
        <w:rPr>
          <w:i w:val="false"/>
        </w:rPr>
      </w:r>
    </w:p>
    <w:p>
      <w:pPr>
        <w:pStyle w:val="BodyText2"/>
        <w:rPr/>
      </w:pPr>
      <w:r>
        <w:rPr/>
      </w:r>
    </w:p>
    <w:p>
      <w:pPr>
        <w:pStyle w:val="BodyText2"/>
        <w:rPr/>
      </w:pPr>
      <w:r>
        <w:rPr/>
        <w:t xml:space="preserve">The California Power Exchange is a private non-profit, public benefit corporation created under state legislation designed to provide an efficient, competitive auction for energy on an open and non-discriminatory basis.  The first of its kind in the U.S., CalPX is the largest of fifteen power exchanges in the world serving all consumer classes.  Approximately 70-75 percent of electricity consumed in California is purchased and sold at CalPX.  </w:t>
      </w:r>
    </w:p>
    <w:p>
      <w:pPr>
        <w:pStyle w:val="Normal"/>
        <w:rPr/>
      </w:pPr>
      <w:r>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sz w:val="28"/>
    </w:rPr>
  </w:style>
  <w:style w:type="paragraph" w:styleId="BodyText">
    <w:name w:val="Body Text"/>
    <w:basedOn w:val="Normal"/>
    <w:pPr>
      <w:jc w:val="center"/>
    </w:pPr>
    <w:rPr>
      <w:rFonts w:ascii="Times New Roman" w:hAnsi="Times New Roman" w:cs="Times New Roman"/>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Times New Roman" w:hAnsi="Times New Roman" w:cs="Times New Roman"/>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2001-01-04T18:39:00Z</dcterms:created>
  <dc:creator>Beth Pendexter</dc:creator>
  <dc:description/>
  <dc:language>en-CA</dc:language>
  <cp:lastModifiedBy>Beth Pendexter</cp:lastModifiedBy>
  <cp:lastPrinted>2001-01-04T13:27:00Z</cp:lastPrinted>
  <dcterms:modified xsi:type="dcterms:W3CDTF">2001-01-04T19:18:00Z</dcterms:modified>
  <cp:revision>17</cp:revision>
  <dc:subject/>
  <dc:title/>
</cp:coreProperties>
</file>