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6"/>
        <w:ind w:hanging="0" w:start="0"/>
        <w:rPr>
          <w:sz w:val="28"/>
        </w:rPr>
      </w:pPr>
      <w:r>
        <w:rPr>
          <w:sz w:val="28"/>
        </w:rPr>
        <w:t>UNITED STATES OF AMERICA</w:t>
      </w:r>
    </w:p>
    <w:p>
      <w:pPr>
        <w:pStyle w:val="Heading6"/>
        <w:ind w:hanging="0" w:start="0"/>
        <w:rPr>
          <w:sz w:val="28"/>
        </w:rPr>
      </w:pPr>
      <w:r>
        <w:rPr>
          <w:sz w:val="28"/>
        </w:rPr>
        <w:t>BEFORE THE</w:t>
      </w:r>
    </w:p>
    <w:p>
      <w:pPr>
        <w:pStyle w:val="Heading6"/>
        <w:ind w:hanging="0" w:start="0"/>
        <w:rPr>
          <w:sz w:val="28"/>
        </w:rPr>
      </w:pPr>
      <w:r>
        <w:rPr>
          <w:sz w:val="28"/>
        </w:rPr>
        <w:t>FEDERAL ENERGY REGULATORY COMMISSION</w:t>
      </w:r>
    </w:p>
    <w:p>
      <w:pPr>
        <w:pStyle w:val="Normal"/>
        <w:jc w:val="center"/>
        <w:rPr/>
      </w:pPr>
      <w:r>
        <w:rPr/>
      </w:r>
    </w:p>
    <w:p>
      <w:pPr>
        <w:pStyle w:val="Normal"/>
        <w:jc w:val="both"/>
        <w:rPr/>
      </w:pPr>
      <w:r>
        <w:rPr/>
      </w:r>
    </w:p>
    <w:p>
      <w:pPr>
        <w:pStyle w:val="Normal"/>
        <w:jc w:val="both"/>
        <w:rPr>
          <w:lang w:val="en-CA" w:eastAsia="en-CA"/>
        </w:rPr>
      </w:pPr>
      <w:r>
        <w:rPr>
          <w:lang w:val="en-CA" w:eastAsia="en-CA"/>
        </w:rP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57150</wp:posOffset>
                </wp:positionV>
                <wp:extent cx="5943600" cy="0"/>
                <wp:effectExtent l="0" t="19050" r="0" b="19050"/>
                <wp:wrapNone/>
                <wp:docPr id="1" name=""/>
                <a:graphic xmlns:a="http://schemas.openxmlformats.org/drawingml/2006/main">
                  <a:graphicData uri="http://schemas.microsoft.com/office/word/2010/wordprocessingShape">
                    <wps:wsp>
                      <wps:cNvSpPr/>
                      <wps:spPr>
                        <a:xfrm>
                          <a:off x="0" y="0"/>
                          <a:ext cx="594360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0pt,4.5pt" to="467.95pt,4.5pt" stroked="t" o:allowincell="f" style="position:absolute">
                <v:stroke color="black" weight="38160" joinstyle="miter" endcap="flat"/>
                <v:fill o:detectmouseclick="t" on="false"/>
                <w10:wrap type="none"/>
              </v:line>
            </w:pict>
          </mc:Fallback>
        </mc:AlternateContent>
      </w:r>
    </w:p>
    <w:p>
      <w:pPr>
        <w:pStyle w:val="Normal"/>
        <w:tabs>
          <w:tab w:val="clear" w:pos="720"/>
          <w:tab w:val="center" w:pos="4680" w:leader="none"/>
          <w:tab w:val="right" w:pos="9360" w:leader="none"/>
        </w:tabs>
        <w:jc w:val="both"/>
        <w:rPr>
          <w:b/>
          <w:bCs/>
          <w:smallCaps/>
        </w:rPr>
      </w:pPr>
      <w:r>
        <w:rPr>
          <w:b/>
          <w:bCs/>
          <w:smallCaps/>
        </w:rPr>
        <w:t>San Diego Gas &amp; Electric Company,</w:t>
        <w:tab/>
        <w:t xml:space="preserve">| </w:t>
      </w:r>
    </w:p>
    <w:p>
      <w:pPr>
        <w:pStyle w:val="Normal"/>
        <w:tabs>
          <w:tab w:val="clear" w:pos="720"/>
          <w:tab w:val="center" w:pos="4680" w:leader="none"/>
          <w:tab w:val="right" w:pos="9360" w:leader="none"/>
        </w:tabs>
        <w:jc w:val="both"/>
        <w:rPr>
          <w:b/>
          <w:bCs/>
          <w:smallCaps/>
        </w:rPr>
      </w:pPr>
      <w:r>
        <w:rPr>
          <w:rFonts w:eastAsia="Arial"/>
          <w:b/>
          <w:bCs/>
          <w:smallCaps/>
        </w:rPr>
        <w:t xml:space="preserve">              </w:t>
      </w:r>
      <w:r>
        <w:rPr>
          <w:b/>
          <w:bCs/>
          <w:smallCaps/>
        </w:rPr>
        <w:t>Complainant,</w:t>
        <w:tab/>
        <w:t>|</w:t>
      </w:r>
    </w:p>
    <w:p>
      <w:pPr>
        <w:pStyle w:val="Normal"/>
        <w:tabs>
          <w:tab w:val="clear" w:pos="720"/>
          <w:tab w:val="center" w:pos="4680" w:leader="none"/>
          <w:tab w:val="right" w:pos="9360" w:leader="none"/>
        </w:tabs>
        <w:jc w:val="both"/>
        <w:rPr>
          <w:b/>
          <w:bCs/>
          <w:smallCaps/>
        </w:rPr>
      </w:pPr>
      <w:r>
        <w:rPr>
          <w:b/>
          <w:bCs/>
          <w:smallCaps/>
        </w:rPr>
        <w:tab/>
        <w:t>|</w:t>
      </w:r>
    </w:p>
    <w:p>
      <w:pPr>
        <w:pStyle w:val="Normal"/>
        <w:tabs>
          <w:tab w:val="clear" w:pos="720"/>
          <w:tab w:val="center" w:pos="4680" w:leader="none"/>
          <w:tab w:val="right" w:pos="9360" w:leader="none"/>
        </w:tabs>
        <w:jc w:val="both"/>
        <w:rPr>
          <w:b/>
          <w:bCs/>
          <w:i/>
          <w:i/>
          <w:iCs/>
          <w:smallCaps/>
        </w:rPr>
      </w:pPr>
      <w:r>
        <w:rPr>
          <w:rFonts w:eastAsia="Arial"/>
          <w:b/>
          <w:bCs/>
          <w:smallCaps/>
        </w:rPr>
        <w:t xml:space="preserve">                          </w:t>
      </w:r>
      <w:r>
        <w:rPr>
          <w:b/>
          <w:bCs/>
          <w:smallCaps/>
        </w:rPr>
        <w:t>v.</w:t>
        <w:tab/>
        <w:t>|</w:t>
        <w:tab/>
        <w:t>Docket No. EL00-95-045</w:t>
      </w:r>
    </w:p>
    <w:p>
      <w:pPr>
        <w:pStyle w:val="Normal"/>
        <w:tabs>
          <w:tab w:val="clear" w:pos="720"/>
          <w:tab w:val="center" w:pos="4680" w:leader="none"/>
          <w:tab w:val="right" w:pos="9360" w:leader="none"/>
        </w:tabs>
        <w:jc w:val="both"/>
        <w:rPr>
          <w:b/>
          <w:bCs/>
          <w:smallCaps/>
        </w:rPr>
      </w:pPr>
      <w:r>
        <w:rPr>
          <w:b/>
          <w:bCs/>
          <w:smallCaps/>
        </w:rPr>
        <w:tab/>
        <w:t>|</w:t>
      </w:r>
    </w:p>
    <w:p>
      <w:pPr>
        <w:pStyle w:val="Normal"/>
        <w:tabs>
          <w:tab w:val="clear" w:pos="720"/>
          <w:tab w:val="center" w:pos="4680" w:leader="none"/>
          <w:tab w:val="right" w:pos="9360" w:leader="none"/>
        </w:tabs>
        <w:jc w:val="both"/>
        <w:rPr>
          <w:b/>
          <w:bCs/>
          <w:smallCaps/>
        </w:rPr>
      </w:pPr>
      <w:r>
        <w:rPr>
          <w:b/>
          <w:bCs/>
          <w:smallCaps/>
        </w:rPr>
        <w:t xml:space="preserve">Sellers of Energy and Ancillary </w:t>
        <w:tab/>
        <w:t>|</w:t>
      </w:r>
    </w:p>
    <w:p>
      <w:pPr>
        <w:pStyle w:val="Normal"/>
        <w:tabs>
          <w:tab w:val="clear" w:pos="720"/>
          <w:tab w:val="center" w:pos="4680" w:leader="none"/>
          <w:tab w:val="right" w:pos="9360" w:leader="none"/>
        </w:tabs>
        <w:jc w:val="both"/>
        <w:rPr>
          <w:b/>
          <w:bCs/>
          <w:smallCaps/>
        </w:rPr>
      </w:pPr>
      <w:r>
        <w:rPr>
          <w:b/>
          <w:bCs/>
          <w:smallCaps/>
        </w:rPr>
        <w:t xml:space="preserve">Service Into Markets Operated by the </w:t>
        <w:tab/>
        <w:t>|</w:t>
      </w:r>
    </w:p>
    <w:p>
      <w:pPr>
        <w:pStyle w:val="Normal"/>
        <w:tabs>
          <w:tab w:val="clear" w:pos="720"/>
          <w:tab w:val="center" w:pos="4680" w:leader="none"/>
          <w:tab w:val="right" w:pos="9360" w:leader="none"/>
        </w:tabs>
        <w:jc w:val="both"/>
        <w:rPr>
          <w:b/>
          <w:bCs/>
          <w:smallCaps/>
        </w:rPr>
      </w:pPr>
      <w:r>
        <w:rPr>
          <w:b/>
          <w:bCs/>
          <w:smallCaps/>
        </w:rPr>
        <w:t xml:space="preserve">California Independent System </w:t>
        <w:tab/>
        <w:t>|</w:t>
      </w:r>
    </w:p>
    <w:p>
      <w:pPr>
        <w:pStyle w:val="Normal"/>
        <w:tabs>
          <w:tab w:val="clear" w:pos="720"/>
          <w:tab w:val="center" w:pos="4680" w:leader="none"/>
          <w:tab w:val="right" w:pos="9360" w:leader="none"/>
        </w:tabs>
        <w:jc w:val="both"/>
        <w:rPr>
          <w:b/>
          <w:bCs/>
          <w:smallCaps/>
        </w:rPr>
      </w:pPr>
      <w:r>
        <w:rPr>
          <w:b/>
          <w:bCs/>
          <w:smallCaps/>
        </w:rPr>
        <w:t xml:space="preserve">Operator and the California Power </w:t>
        <w:tab/>
        <w:t>|</w:t>
      </w:r>
    </w:p>
    <w:p>
      <w:pPr>
        <w:pStyle w:val="Normal"/>
        <w:tabs>
          <w:tab w:val="clear" w:pos="720"/>
          <w:tab w:val="center" w:pos="4680" w:leader="none"/>
          <w:tab w:val="right" w:pos="9360" w:leader="none"/>
        </w:tabs>
        <w:jc w:val="both"/>
        <w:rPr>
          <w:b/>
          <w:bCs/>
          <w:smallCaps/>
        </w:rPr>
      </w:pPr>
      <w:r>
        <w:rPr>
          <w:b/>
          <w:bCs/>
          <w:smallCaps/>
        </w:rPr>
        <w:t>Exchange,</w:t>
        <w:tab/>
        <w:t>|</w:t>
      </w:r>
    </w:p>
    <w:p>
      <w:pPr>
        <w:pStyle w:val="Normal"/>
        <w:tabs>
          <w:tab w:val="clear" w:pos="720"/>
          <w:tab w:val="center" w:pos="4680" w:leader="none"/>
          <w:tab w:val="right" w:pos="9360" w:leader="none"/>
        </w:tabs>
        <w:jc w:val="both"/>
        <w:rPr>
          <w:b/>
          <w:bCs/>
          <w:smallCaps/>
        </w:rPr>
      </w:pPr>
      <w:r>
        <w:rPr>
          <w:rFonts w:eastAsia="Arial"/>
          <w:b/>
          <w:bCs/>
          <w:smallCaps/>
        </w:rPr>
        <w:t xml:space="preserve">              </w:t>
      </w:r>
      <w:r>
        <w:rPr>
          <w:b/>
          <w:bCs/>
          <w:smallCaps/>
        </w:rPr>
        <w:t>Respondents.</w:t>
        <w:tab/>
        <w:t>|</w:t>
      </w:r>
    </w:p>
    <w:p>
      <w:pPr>
        <w:pStyle w:val="Normal"/>
        <w:tabs>
          <w:tab w:val="clear" w:pos="720"/>
          <w:tab w:val="center" w:pos="4680" w:leader="none"/>
          <w:tab w:val="right" w:pos="9360" w:leader="none"/>
        </w:tabs>
        <w:jc w:val="both"/>
        <w:rPr>
          <w:b/>
          <w:bCs/>
          <w:smallCaps/>
        </w:rPr>
      </w:pPr>
      <w:r>
        <w:rPr>
          <w:b/>
          <w:bCs/>
          <w:smallCaps/>
        </w:rPr>
        <w:tab/>
        <w:t>|</w:t>
      </w:r>
    </w:p>
    <w:p>
      <w:pPr>
        <w:pStyle w:val="Normal"/>
        <w:tabs>
          <w:tab w:val="clear" w:pos="720"/>
          <w:tab w:val="center" w:pos="4680" w:leader="none"/>
          <w:tab w:val="right" w:pos="9360" w:leader="none"/>
        </w:tabs>
        <w:jc w:val="both"/>
        <w:rPr>
          <w:b/>
          <w:bCs/>
          <w:smallCaps/>
        </w:rPr>
      </w:pPr>
      <w:r>
        <w:rPr>
          <w:b/>
          <w:bCs/>
          <w:smallCaps/>
        </w:rPr>
        <w:tab/>
        <w:t>|</w:t>
      </w:r>
    </w:p>
    <w:p>
      <w:pPr>
        <w:pStyle w:val="Normal"/>
        <w:tabs>
          <w:tab w:val="clear" w:pos="720"/>
          <w:tab w:val="center" w:pos="4680" w:leader="none"/>
          <w:tab w:val="right" w:pos="9360" w:leader="none"/>
        </w:tabs>
        <w:jc w:val="both"/>
        <w:rPr>
          <w:b/>
          <w:bCs/>
          <w:smallCaps/>
        </w:rPr>
      </w:pPr>
      <w:r>
        <w:rPr>
          <w:b/>
          <w:bCs/>
          <w:smallCaps/>
        </w:rPr>
        <w:t>Investigation of Practices of the</w:t>
        <w:tab/>
        <w:t>|</w:t>
        <w:tab/>
        <w:t>Docket No. EL00-98-042</w:t>
      </w:r>
    </w:p>
    <w:p>
      <w:pPr>
        <w:pStyle w:val="Normal"/>
        <w:tabs>
          <w:tab w:val="clear" w:pos="720"/>
          <w:tab w:val="center" w:pos="4680" w:leader="none"/>
          <w:tab w:val="right" w:pos="9360" w:leader="none"/>
        </w:tabs>
        <w:jc w:val="both"/>
        <w:rPr>
          <w:b/>
          <w:bCs/>
          <w:smallCaps/>
        </w:rPr>
      </w:pPr>
      <w:r>
        <w:rPr>
          <w:b/>
          <w:bCs/>
          <w:smallCaps/>
        </w:rPr>
        <w:t>California Independent System</w:t>
        <w:tab/>
        <w:t>|</w:t>
      </w:r>
    </w:p>
    <w:p>
      <w:pPr>
        <w:pStyle w:val="Normal"/>
        <w:tabs>
          <w:tab w:val="clear" w:pos="720"/>
          <w:tab w:val="center" w:pos="4680" w:leader="none"/>
          <w:tab w:val="right" w:pos="9360" w:leader="none"/>
        </w:tabs>
        <w:jc w:val="both"/>
        <w:rPr>
          <w:b/>
          <w:bCs/>
          <w:smallCaps/>
        </w:rPr>
      </w:pPr>
      <w:r>
        <w:rPr>
          <w:b/>
          <w:bCs/>
          <w:smallCaps/>
        </w:rPr>
        <w:t>Operator and the California Power</w:t>
        <w:tab/>
        <w:t>|</w:t>
      </w:r>
    </w:p>
    <w:p>
      <w:pPr>
        <w:pStyle w:val="Normal"/>
        <w:tabs>
          <w:tab w:val="clear" w:pos="720"/>
          <w:tab w:val="center" w:pos="4680" w:leader="none"/>
          <w:tab w:val="right" w:pos="9360" w:leader="none"/>
        </w:tabs>
        <w:jc w:val="both"/>
        <w:rPr>
          <w:b/>
          <w:bCs/>
          <w:smallCaps/>
        </w:rPr>
      </w:pPr>
      <w:r>
        <w:rPr>
          <w:b/>
          <w:bCs/>
          <w:smallCaps/>
        </w:rPr>
        <w:t>Exchange</w:t>
        <w:tab/>
        <w:t>|</w:t>
      </w:r>
    </w:p>
    <w:p>
      <w:pPr>
        <w:pStyle w:val="Normal"/>
        <w:tabs>
          <w:tab w:val="clear" w:pos="720"/>
          <w:tab w:val="center" w:pos="4680" w:leader="none"/>
          <w:tab w:val="right" w:pos="9360" w:leader="none"/>
        </w:tabs>
        <w:jc w:val="both"/>
        <w:rPr>
          <w:b/>
          <w:bCs/>
          <w:smallCaps/>
        </w:rPr>
      </w:pPr>
      <w:r>
        <w:rPr>
          <w:b/>
          <w:bCs/>
          <w:smallCaps/>
        </w:rPr>
        <w:tab/>
        <w:t>|</w:t>
      </w:r>
    </w:p>
    <w:p>
      <w:pPr>
        <w:pStyle w:val="Normal"/>
        <w:jc w:val="both"/>
        <w:rPr>
          <w:b/>
          <w:bCs/>
          <w:smallCaps/>
          <w:lang w:val="en-CA" w:eastAsia="en-CA"/>
        </w:rPr>
      </w:pPr>
      <w:r>
        <w:rPr>
          <w:b/>
          <w:bCs/>
          <w:smallCaps/>
          <w:lang w:val="en-CA" w:eastAsia="en-CA"/>
        </w:rPr>
        <mc:AlternateContent>
          <mc:Choice Requires="wps">
            <w:drawing>
              <wp:anchor behindDoc="0" distT="0" distB="0" distL="114935" distR="114935" simplePos="0" locked="0" layoutInCell="1" allowOverlap="1" relativeHeight="5">
                <wp:simplePos x="0" y="0"/>
                <wp:positionH relativeFrom="column">
                  <wp:posOffset>0</wp:posOffset>
                </wp:positionH>
                <wp:positionV relativeFrom="paragraph">
                  <wp:posOffset>15240</wp:posOffset>
                </wp:positionV>
                <wp:extent cx="5943600" cy="0"/>
                <wp:effectExtent l="0" t="19050" r="0" b="19050"/>
                <wp:wrapNone/>
                <wp:docPr id="2" name=""/>
                <a:graphic xmlns:a="http://schemas.openxmlformats.org/drawingml/2006/main">
                  <a:graphicData uri="http://schemas.microsoft.com/office/word/2010/wordprocessingShape">
                    <wps:wsp>
                      <wps:cNvSpPr/>
                      <wps:spPr>
                        <a:xfrm>
                          <a:off x="0" y="0"/>
                          <a:ext cx="594360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0pt,1.2pt" to="467.95pt,1.2pt" stroked="t" o:allowincell="f" style="position:absolute">
                <v:stroke color="black" weight="38160" joinstyle="miter" endcap="flat"/>
                <v:fill o:detectmouseclick="t" on="false"/>
                <w10:wrap type="none"/>
              </v:line>
            </w:pict>
          </mc:Fallback>
        </mc:AlternateContent>
      </w:r>
    </w:p>
    <w:p>
      <w:pPr>
        <w:pStyle w:val="Normal"/>
        <w:jc w:val="both"/>
        <w:rPr/>
      </w:pPr>
      <w:r>
        <w:rPr/>
      </w:r>
    </w:p>
    <w:p>
      <w:pPr>
        <w:pStyle w:val="Heading4"/>
        <w:ind w:hanging="0" w:start="0"/>
        <w:jc w:val="center"/>
        <w:rPr>
          <w:sz w:val="26"/>
        </w:rPr>
      </w:pPr>
      <w:r>
        <w:rPr>
          <w:sz w:val="26"/>
        </w:rPr>
        <w:t>RESPONSES OF THE CALIFORNIA POWER EXCHANGE</w:t>
      </w:r>
    </w:p>
    <w:p>
      <w:pPr>
        <w:pStyle w:val="Heading4"/>
        <w:ind w:hanging="0" w:start="0"/>
        <w:jc w:val="center"/>
        <w:rPr>
          <w:sz w:val="26"/>
        </w:rPr>
      </w:pPr>
      <w:r>
        <w:rPr>
          <w:sz w:val="26"/>
        </w:rPr>
        <w:t>CORPORATION TO FERC STAFF’S FIRST SET OF</w:t>
      </w:r>
    </w:p>
    <w:p>
      <w:pPr>
        <w:pStyle w:val="Heading4"/>
        <w:ind w:hanging="0" w:start="0"/>
        <w:jc w:val="center"/>
        <w:rPr>
          <w:sz w:val="28"/>
        </w:rPr>
      </w:pPr>
      <w:r>
        <w:rPr>
          <w:sz w:val="26"/>
        </w:rPr>
        <w:t>DATA REQUESTS TO THE PARTIES</w:t>
      </w:r>
    </w:p>
    <w:p>
      <w:pPr>
        <w:pStyle w:val="Normal"/>
        <w:rPr>
          <w:sz w:val="28"/>
        </w:rPr>
      </w:pPr>
      <w:r>
        <w:rPr>
          <w:sz w:val="28"/>
        </w:rPr>
      </w:r>
    </w:p>
    <w:p>
      <w:pPr>
        <w:pStyle w:val="Normal"/>
        <w:rPr/>
      </w:pPr>
      <w:r>
        <w:rPr/>
      </w:r>
    </w:p>
    <w:p>
      <w:pPr>
        <w:pStyle w:val="Normal"/>
        <w:spacing w:lineRule="auto" w:line="480"/>
        <w:rPr/>
      </w:pPr>
      <w:r>
        <w:rPr/>
        <w:tab/>
        <w:t xml:space="preserve">The California Power Exchange Corporation (“CalPX”) hereby submits its responses to FERC Staff’s August 8, 2001 “First Set of Data Requests to the Parties.”  Those data requests ask for information regarding the sales of energy and energy-related services to the California ISO pursuant to orders issued by the Secretary of Energy under Section 202(c) of the Federal Power Act during December, 2000 and January, 2001.  </w:t>
      </w:r>
    </w:p>
    <w:p>
      <w:pPr>
        <w:pStyle w:val="Normal"/>
        <w:spacing w:lineRule="auto" w:line="480"/>
        <w:rPr/>
      </w:pPr>
      <w:r>
        <w:rPr/>
        <w:tab/>
        <w:t xml:space="preserve">CalPX does not own generation or transmission facilities and did not take title to electric energy when it operated its markets.  Therefore CalPX did not sell energy or energy-related services to the California ISO pursuant to the DOE orders during December and January, and the Staff’s data requests are not relevant to the operation of CalPX’s exchange services.  </w:t>
      </w:r>
    </w:p>
    <w:p>
      <w:pPr>
        <w:pStyle w:val="Normal"/>
        <w:spacing w:lineRule="auto" w:line="480"/>
        <w:rPr/>
      </w:pPr>
      <w:r>
        <w:rPr/>
        <w:tab/>
        <w:t>This submittal constitutes the CalPX's complete response to FERC Staff’s first set of data requests.</w:t>
      </w:r>
    </w:p>
    <w:p>
      <w:pPr>
        <w:pStyle w:val="Normal"/>
        <w:rPr/>
      </w:pPr>
      <w:r>
        <w:rPr/>
      </w:r>
    </w:p>
    <w:p>
      <w:pPr>
        <w:pStyle w:val="Normal"/>
        <w:spacing w:lineRule="auto" w:line="480"/>
        <w:ind w:firstLine="720" w:end="0"/>
        <w:jc w:val="both"/>
        <w:rPr/>
      </w:pPr>
      <w:r>
        <w:rPr/>
        <w:tab/>
        <w:tab/>
        <w:tab/>
        <w:tab/>
        <w:tab/>
        <w:t>Respectfully submitted,</w:t>
      </w:r>
    </w:p>
    <w:p>
      <w:pPr>
        <w:pStyle w:val="Normal"/>
        <w:jc w:val="both"/>
        <w:rPr/>
      </w:pPr>
      <w:r>
        <w:rPr/>
        <w:tab/>
        <w:tab/>
        <w:tab/>
        <w:tab/>
        <w:tab/>
        <w:tab/>
        <w:t>BRUDER, GENTILE &amp; MARCOUX, L.L.P.</w:t>
      </w:r>
    </w:p>
    <w:p>
      <w:pPr>
        <w:pStyle w:val="Normal"/>
        <w:jc w:val="both"/>
        <w:rPr/>
      </w:pPr>
      <w:r>
        <w:rPr/>
      </w:r>
    </w:p>
    <w:p>
      <w:pPr>
        <w:pStyle w:val="Normal"/>
        <w:jc w:val="both"/>
        <w:rPr/>
      </w:pPr>
      <w:r>
        <w:rPr/>
      </w:r>
    </w:p>
    <w:p>
      <w:pPr>
        <w:pStyle w:val="Normal"/>
        <w:jc w:val="both"/>
        <w:rPr/>
      </w:pPr>
      <w:r>
        <w:rPr/>
      </w:r>
    </w:p>
    <w:p>
      <w:pPr>
        <w:pStyle w:val="Normal"/>
        <w:ind w:start="3600" w:end="0"/>
        <w:jc w:val="both"/>
        <w:rPr/>
      </w:pPr>
      <w:r>
        <w:rPr/>
        <w:tab/>
      </w:r>
      <w:r>
        <w:rPr>
          <w:u w:val="single"/>
        </w:rPr>
        <w:t>___</w:t>
      </w:r>
      <w:r>
        <w:rPr>
          <w:i/>
          <w:iCs/>
          <w:u w:val="single"/>
        </w:rPr>
        <w:t>/s/ James H. McGrew</w:t>
        <w:tab/>
        <w:tab/>
      </w:r>
    </w:p>
    <w:p>
      <w:pPr>
        <w:pStyle w:val="Normal"/>
        <w:jc w:val="both"/>
        <w:rPr/>
      </w:pPr>
      <w:r>
        <w:rPr/>
        <w:tab/>
        <w:tab/>
        <w:tab/>
        <w:tab/>
        <w:tab/>
        <w:tab/>
        <w:t>James H. McGrew</w:t>
      </w:r>
    </w:p>
    <w:p>
      <w:pPr>
        <w:pStyle w:val="Normal"/>
        <w:jc w:val="both"/>
        <w:rPr/>
      </w:pPr>
      <w:r>
        <w:rPr/>
        <w:tab/>
        <w:tab/>
      </w:r>
    </w:p>
    <w:p>
      <w:pPr>
        <w:pStyle w:val="Normal"/>
        <w:jc w:val="both"/>
        <w:rPr/>
      </w:pPr>
      <w:r>
        <w:rPr/>
        <w:tab/>
        <w:tab/>
        <w:tab/>
        <w:tab/>
        <w:tab/>
        <w:tab/>
        <w:t>1100 New York Avenue, N.W.</w:t>
      </w:r>
    </w:p>
    <w:p>
      <w:pPr>
        <w:pStyle w:val="Normal"/>
        <w:jc w:val="both"/>
        <w:rPr/>
      </w:pPr>
      <w:r>
        <w:rPr/>
        <w:tab/>
        <w:tab/>
        <w:tab/>
        <w:tab/>
        <w:tab/>
        <w:tab/>
        <w:t>Suite 510 East</w:t>
      </w:r>
    </w:p>
    <w:p>
      <w:pPr>
        <w:pStyle w:val="Normal"/>
        <w:jc w:val="both"/>
        <w:rPr/>
      </w:pPr>
      <w:r>
        <w:rPr/>
        <w:tab/>
        <w:tab/>
        <w:tab/>
        <w:tab/>
        <w:tab/>
        <w:tab/>
        <w:t>Washington, D.C. 20005-3934</w:t>
      </w:r>
    </w:p>
    <w:p>
      <w:pPr>
        <w:pStyle w:val="Normal"/>
        <w:jc w:val="both"/>
        <w:rPr>
          <w:u w:val="single"/>
        </w:rPr>
      </w:pPr>
      <w:r>
        <w:rPr/>
        <w:tab/>
        <w:tab/>
        <w:tab/>
        <w:tab/>
        <w:tab/>
        <w:tab/>
        <w:t>Telephone: 202/783-1350</w:t>
      </w:r>
    </w:p>
    <w:p>
      <w:pPr>
        <w:pStyle w:val="Normal"/>
        <w:jc w:val="both"/>
        <w:rPr/>
      </w:pPr>
      <w:r>
        <w:rPr/>
        <w:tab/>
        <w:tab/>
        <w:tab/>
        <w:tab/>
        <w:tab/>
        <w:tab/>
        <w:t>Facsimile: 202/737-9117</w:t>
      </w:r>
    </w:p>
    <w:p>
      <w:pPr>
        <w:pStyle w:val="Normal"/>
        <w:jc w:val="both"/>
        <w:rPr>
          <w:u w:val="single"/>
        </w:rPr>
      </w:pPr>
      <w:r>
        <w:rPr/>
        <w:tab/>
        <w:tab/>
        <w:tab/>
        <w:tab/>
        <w:tab/>
        <w:tab/>
        <w:t xml:space="preserve">E-Mail: </w:t>
      </w:r>
      <w:hyperlink r:id="rId2">
        <w:r>
          <w:rPr>
            <w:rStyle w:val="Hyperlink"/>
          </w:rPr>
          <w:t>jhmcgrew@brudergentile.com</w:t>
        </w:r>
      </w:hyperlink>
    </w:p>
    <w:p>
      <w:pPr>
        <w:pStyle w:val="Normal"/>
        <w:jc w:val="both"/>
        <w:rPr>
          <w:u w:val="single"/>
        </w:rPr>
      </w:pPr>
      <w:r>
        <w:rPr>
          <w:u w:val="single"/>
        </w:rPr>
      </w:r>
    </w:p>
    <w:p>
      <w:pPr>
        <w:pStyle w:val="Normal"/>
        <w:jc w:val="both"/>
        <w:rPr/>
      </w:pPr>
      <w:r>
        <w:rPr/>
        <w:tab/>
        <w:tab/>
        <w:tab/>
        <w:tab/>
        <w:tab/>
        <w:tab/>
        <w:t>Attorneys for California Power Exchange</w:t>
      </w:r>
    </w:p>
    <w:p>
      <w:pPr>
        <w:pStyle w:val="Normal"/>
        <w:jc w:val="both"/>
        <w:rPr/>
      </w:pPr>
      <w:r>
        <w:rPr/>
        <w:tab/>
        <w:tab/>
        <w:tab/>
        <w:tab/>
        <w:tab/>
        <w:tab/>
        <w:t>Corporation</w:t>
      </w:r>
    </w:p>
    <w:p>
      <w:pPr>
        <w:pStyle w:val="Normal"/>
        <w:rPr/>
      </w:pPr>
      <w:r>
        <w:rPr/>
      </w:r>
    </w:p>
    <w:p>
      <w:pPr>
        <w:pStyle w:val="Normal"/>
        <w:rPr/>
      </w:pPr>
      <w:r>
        <w:rPr/>
      </w:r>
    </w:p>
    <w:p>
      <w:pPr>
        <w:pStyle w:val="Normal"/>
        <w:rPr/>
      </w:pPr>
      <w:r>
        <w:rPr/>
        <w:t>August 22, 2001</w:t>
      </w:r>
    </w:p>
    <w:p>
      <w:pPr>
        <w:pStyle w:val="Normal"/>
        <w:rPr/>
      </w:pPr>
      <w:r>
        <w:rPr/>
      </w:r>
    </w:p>
    <w:p>
      <w:pPr>
        <w:pStyle w:val="Header"/>
        <w:tabs>
          <w:tab w:val="clear" w:pos="4320"/>
          <w:tab w:val="clear" w:pos="8640"/>
        </w:tabs>
        <w:rPr/>
      </w:pPr>
      <w:r>
        <w:rPr/>
      </w:r>
    </w:p>
    <w:p>
      <w:pPr>
        <w:sectPr>
          <w:headerReference w:type="default" r:id="rId3"/>
          <w:headerReference w:type="first" r:id="rId4"/>
          <w:type w:val="nextPage"/>
          <w:pgSz w:w="12240" w:h="15840"/>
          <w:pgMar w:left="1440" w:right="1440" w:gutter="0" w:header="720" w:top="776" w:footer="0" w:bottom="1152"/>
          <w:pgNumType w:fmt="decimal"/>
          <w:formProt w:val="false"/>
          <w:titlePg/>
          <w:textDirection w:val="lrTb"/>
          <w:docGrid w:type="default" w:linePitch="360" w:charSpace="0"/>
        </w:sectPr>
        <w:pStyle w:val="Header"/>
        <w:tabs>
          <w:tab w:val="clear" w:pos="4320"/>
          <w:tab w:val="clear" w:pos="8640"/>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/mnt/main-storage/datasets/enron-docs/doc/CalPX_s_Response_to_FERC_s_1st_Data_Requests.BLF0551.DOC</w:t>
      </w:r>
      <w:r>
        <w:rPr>
          <w:sz w:val="16"/>
        </w:rPr>
        <w:fldChar w:fldCharType="end"/>
      </w:r>
    </w:p>
    <w:p>
      <w:pPr>
        <w:pStyle w:val="Heading6"/>
        <w:ind w:hanging="0" w:start="0"/>
        <w:rPr>
          <w:sz w:val="28"/>
        </w:rPr>
      </w:pPr>
      <w:r>
        <w:rPr>
          <w:sz w:val="28"/>
        </w:rPr>
      </w:r>
    </w:p>
    <w:p>
      <w:pPr>
        <w:pStyle w:val="Heading6"/>
        <w:ind w:hanging="0" w:start="0"/>
        <w:rPr>
          <w:sz w:val="28"/>
        </w:rPr>
      </w:pPr>
      <w:r>
        <w:rPr>
          <w:sz w:val="28"/>
        </w:rPr>
      </w:r>
    </w:p>
    <w:p>
      <w:pPr>
        <w:pStyle w:val="Heading6"/>
        <w:ind w:hanging="0" w:start="0"/>
        <w:rPr>
          <w:sz w:val="28"/>
        </w:rPr>
      </w:pPr>
      <w:r>
        <w:rPr>
          <w:sz w:val="28"/>
        </w:rPr>
        <w:t>CERTIFICATE OF SERVICE</w:t>
      </w:r>
    </w:p>
    <w:p>
      <w:pPr>
        <w:pStyle w:val="Normal"/>
        <w:rPr>
          <w:b/>
          <w:sz w:val="28"/>
        </w:rPr>
      </w:pPr>
      <w:r>
        <w:rPr>
          <w:b/>
          <w:sz w:val="28"/>
        </w:rPr>
      </w:r>
    </w:p>
    <w:p>
      <w:pPr>
        <w:pStyle w:val="Normal"/>
        <w:spacing w:lineRule="auto" w:line="480"/>
        <w:rPr/>
      </w:pPr>
      <w:r>
        <w:rPr>
          <w:b/>
        </w:rPr>
        <w:tab/>
      </w:r>
      <w:r>
        <w:rPr/>
        <w:t>I hereby certify that I have this day served by electronic e-mail the foregoing document upon each person designated on the master e-mail list compiled by FERC Staff in this proceeding.</w:t>
      </w:r>
    </w:p>
    <w:p>
      <w:pPr>
        <w:pStyle w:val="Normal"/>
        <w:spacing w:lineRule="auto" w:line="480"/>
        <w:rPr/>
      </w:pPr>
      <w:r>
        <w:rPr/>
        <w:tab/>
        <w:t>Dated at Washington, D.C. this 22</w:t>
      </w:r>
      <w:r>
        <w:rPr>
          <w:vertAlign w:val="superscript"/>
        </w:rPr>
        <w:t>nd</w:t>
      </w:r>
      <w:r>
        <w:rPr/>
        <w:t xml:space="preserve"> day of August, 2001.</w:t>
      </w:r>
    </w:p>
    <w:p>
      <w:pPr>
        <w:pStyle w:val="Header"/>
        <w:tabs>
          <w:tab w:val="clear" w:pos="4320"/>
          <w:tab w:val="clear" w:pos="8640"/>
        </w:tabs>
        <w:rPr/>
      </w:pPr>
      <w:r>
        <w:rPr/>
      </w:r>
    </w:p>
    <w:p>
      <w:pPr>
        <w:pStyle w:val="Header"/>
        <w:tabs>
          <w:tab w:val="clear" w:pos="4320"/>
          <w:tab w:val="clear" w:pos="8640"/>
        </w:tabs>
        <w:rPr/>
      </w:pPr>
      <w:r>
        <w:rPr/>
      </w:r>
    </w:p>
    <w:p>
      <w:pPr>
        <w:pStyle w:val="Normal"/>
        <w:rPr/>
      </w:pPr>
      <w:r>
        <w:rPr/>
        <w:tab/>
        <w:tab/>
        <w:tab/>
        <w:tab/>
        <w:tab/>
        <w:tab/>
        <w:tab/>
        <w:t xml:space="preserve">        </w:t>
      </w:r>
      <w:r>
        <w:rPr>
          <w:i/>
          <w:iCs/>
        </w:rPr>
        <w:t>/s/ James H. McGrew</w:t>
      </w:r>
    </w:p>
    <w:p>
      <w:pPr>
        <w:pStyle w:val="Header"/>
        <w:tabs>
          <w:tab w:val="clear" w:pos="4320"/>
          <w:tab w:val="clear" w:pos="8640"/>
        </w:tabs>
        <w:rPr/>
      </w:pPr>
      <w:r>
        <mc:AlternateContent>
          <mc:Choice Requires="wps">
            <w:drawing>
              <wp:anchor behindDoc="0" distT="0" distB="0" distL="114935" distR="114935" simplePos="0" locked="0" layoutInCell="1" allowOverlap="1" relativeHeight="6">
                <wp:simplePos x="0" y="0"/>
                <wp:positionH relativeFrom="column">
                  <wp:posOffset>3251835</wp:posOffset>
                </wp:positionH>
                <wp:positionV relativeFrom="paragraph">
                  <wp:posOffset>5080</wp:posOffset>
                </wp:positionV>
                <wp:extent cx="2628900" cy="0"/>
                <wp:effectExtent l="0" t="5080" r="0" b="5080"/>
                <wp:wrapNone/>
                <wp:docPr id="4" name=""/>
                <a:graphic xmlns:a="http://schemas.openxmlformats.org/drawingml/2006/main">
                  <a:graphicData uri="http://schemas.microsoft.com/office/word/2010/wordprocessingShape">
                    <wps:wsp>
                      <wps:cNvSpPr/>
                      <wps:spPr>
                        <a:xfrm>
                          <a:off x="0" y="0"/>
                          <a:ext cx="2629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6.05pt,0.4pt" to="463pt,0.4pt" stroked="t" o:allowincell="f" style="position:absolute">
                <v:stroke color="black" weight="9360" joinstyle="miter" endcap="flat"/>
                <v:fill o:detectmouseclick="t" on="false"/>
                <w10:wrap type="none"/>
              </v:line>
            </w:pict>
          </mc:Fallback>
        </mc:AlternateContent>
      </w:r>
      <w:r>
        <w:rPr/>
        <w:tab/>
        <w:tab/>
        <w:tab/>
        <w:tab/>
        <w:tab/>
        <w:tab/>
        <w:tab/>
        <w:tab/>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t>Bruder, Gentile &amp; Marcoux, L.L.P.</w:t>
      </w:r>
    </w:p>
    <w:p>
      <w:pPr>
        <w:pStyle w:val="Header"/>
        <w:tabs>
          <w:tab w:val="clear" w:pos="4320"/>
          <w:tab w:val="clear" w:pos="8640"/>
        </w:tabs>
        <w:rPr/>
      </w:pPr>
      <w:r>
        <w:rPr/>
        <w:t>1100 New York Avenue, N.W.</w:t>
      </w:r>
    </w:p>
    <w:p>
      <w:pPr>
        <w:pStyle w:val="Header"/>
        <w:tabs>
          <w:tab w:val="clear" w:pos="4320"/>
          <w:tab w:val="clear" w:pos="8640"/>
        </w:tabs>
        <w:rPr/>
      </w:pPr>
      <w:r>
        <w:rPr/>
        <w:t>Suite 510 East</w:t>
      </w:r>
    </w:p>
    <w:p>
      <w:pPr>
        <w:pStyle w:val="Header"/>
        <w:tabs>
          <w:tab w:val="clear" w:pos="4320"/>
          <w:tab w:val="clear" w:pos="8640"/>
        </w:tabs>
        <w:rPr/>
      </w:pPr>
      <w:r>
        <w:rPr/>
        <w:t>Washington, D.C. 20005-3934</w:t>
      </w:r>
    </w:p>
    <w:p>
      <w:pPr>
        <w:pStyle w:val="Header"/>
        <w:tabs>
          <w:tab w:val="clear" w:pos="4320"/>
          <w:tab w:val="clear" w:pos="8640"/>
        </w:tabs>
        <w:rPr/>
      </w:pPr>
      <w:r>
        <w:rPr/>
        <w:t>Telephone: 202/783-1350</w:t>
      </w:r>
    </w:p>
    <w:p>
      <w:pPr>
        <w:pStyle w:val="Header"/>
        <w:tabs>
          <w:tab w:val="clear" w:pos="4320"/>
          <w:tab w:val="clear" w:pos="8640"/>
        </w:tabs>
        <w:rPr/>
      </w:pPr>
      <w:r>
        <w:rPr/>
        <w:t>Facsimile: 202/737-9117</w:t>
      </w:r>
    </w:p>
    <w:p>
      <w:pPr>
        <w:pStyle w:val="Header"/>
        <w:tabs>
          <w:tab w:val="clear" w:pos="4320"/>
          <w:tab w:val="clear" w:pos="8640"/>
        </w:tabs>
        <w:rPr/>
      </w:pPr>
      <w:r>
        <w:rPr/>
        <w:t xml:space="preserve">E-Mail: jhmcgrew@brudergentile.com </w:t>
      </w:r>
    </w:p>
    <w:p>
      <w:pPr>
        <w:pStyle w:val="Header"/>
        <w:tabs>
          <w:tab w:val="clear" w:pos="4320"/>
          <w:tab w:val="clear" w:pos="8640"/>
        </w:tabs>
        <w:rPr/>
      </w:pPr>
      <w:r>
        <w:rPr/>
      </w:r>
    </w:p>
    <w:p>
      <w:pPr>
        <w:pStyle w:val="Header"/>
        <w:tabs>
          <w:tab w:val="clear" w:pos="4320"/>
          <w:tab w:val="clear" w:pos="8640"/>
        </w:tabs>
        <w:rPr/>
      </w:pPr>
      <w:r>
        <w:rPr/>
        <w:t>Counsel for California Power Exchange Corporation</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sectPr>
      <w:headerReference w:type="default" r:id="rId5"/>
      <w:headerReference w:type="first" r:id="rId6"/>
      <w:type w:val="nextPage"/>
      <w:pgSz w:w="12240" w:h="15840"/>
      <w:pgMar w:left="1440" w:right="1440" w:gutter="0" w:header="720" w:top="776" w:footer="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b/>
        <w:bCs/>
        <w:sz w:val="20"/>
      </w:rPr>
    </w:pPr>
    <w:r>
      <w:rPr>
        <w:b/>
        <w:bCs/>
        <w:sz w:val="20"/>
      </w:rPr>
    </w:r>
  </w:p>
  <w:p>
    <w:pPr>
      <w:pStyle w:val="Header"/>
      <w:tabs>
        <w:tab w:val="clear" w:pos="8640"/>
        <w:tab w:val="center" w:pos="4320" w:leader="none"/>
        <w:tab w:val="right" w:pos="9360" w:leader="none"/>
      </w:tabs>
      <w:rPr/>
    </w:pPr>
    <w:r>
      <w:rPr/>
      <w:t xml:space="preserve">Docket Nos. EL00-95-045, </w:t>
    </w:r>
    <w:r>
      <w:rPr>
        <w:i/>
        <w:iCs/>
      </w:rPr>
      <w:t>et al.</w:t>
    </w:r>
    <w:r>
      <w:rPr/>
      <w:t xml:space="preserve"> </w:t>
    </w:r>
  </w:p>
  <w:p>
    <w:pPr>
      <w:pStyle w:val="Header"/>
      <w:tabs>
        <w:tab w:val="clear" w:pos="8640"/>
        <w:tab w:val="center" w:pos="4320" w:leader="none"/>
        <w:tab w:val="right" w:pos="9360" w:leader="none"/>
      </w:tabs>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lang w:val="en-CA" w:eastAsia="en-CA"/>
      </w:rPr>
    </w:pPr>
    <w:r>
      <w:rPr>
        <w:lang w:val="en-CA" w:eastAsia="en-CA"/>
      </w:rPr>
      <mc:AlternateContent>
        <mc:Choice Requires="wps">
          <w:drawing>
            <wp:anchor behindDoc="1" distT="0" distB="0" distL="114935" distR="114935" simplePos="0" locked="0" layoutInCell="1" allowOverlap="1" relativeHeight="3">
              <wp:simplePos x="0" y="0"/>
              <wp:positionH relativeFrom="column">
                <wp:posOffset>0</wp:posOffset>
              </wp:positionH>
              <wp:positionV relativeFrom="paragraph">
                <wp:posOffset>99060</wp:posOffset>
              </wp:positionV>
              <wp:extent cx="5943600" cy="0"/>
              <wp:effectExtent l="0" t="19050" r="0" b="19050"/>
              <wp:wrapNone/>
              <wp:docPr id="3" name=""/>
              <a:graphic xmlns:a="http://schemas.openxmlformats.org/drawingml/2006/main">
                <a:graphicData uri="http://schemas.microsoft.com/office/word/2010/wordprocessingShape">
                  <wps:wsp>
                    <wps:cNvSpPr/>
                    <wps:spPr>
                      <a:xfrm>
                        <a:off x="0" y="0"/>
                        <a:ext cx="594360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0pt,7.8pt" to="467.95pt,7.8pt" stroked="t" o:allowincell="f" style="position:absolute">
              <v:stroke color="black" weight="38160" joinstyle="miter" endcap="flat"/>
              <v:fill o:detectmouseclick="t" on="false"/>
              <w10:wrap type="none"/>
            </v:line>
          </w:pict>
        </mc:Fallback>
      </mc:AlternateConten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50" w:leader="none"/>
      </w:tabs>
      <w:rPr/>
    </w:pPr>
    <w:r>
      <w:rPr>
        <w:b/>
        <w:bCs/>
      </w:rPr>
      <w:t xml:space="preserve">DRAFT – </w:t>
    </w:r>
    <w:r>
      <w:rPr>
        <w:b/>
        <w:bCs/>
      </w:rPr>
      <w:fldChar w:fldCharType="begin"/>
    </w:r>
    <w:r>
      <w:rPr>
        <w:b/>
        <w:bCs/>
      </w:rPr>
      <w:instrText xml:space="preserve"> DATE \@"MMMM\ d', 'yyyy" </w:instrText>
    </w:r>
    <w:r>
      <w:rPr>
        <w:b/>
        <w:bCs/>
      </w:rPr>
      <w:fldChar w:fldCharType="separate"/>
    </w:r>
    <w:r>
      <w:rPr>
        <w:b/>
        <w:bCs/>
      </w:rPr>
      <w:t>September 28, 2025</w:t>
    </w:r>
    <w:r>
      <w:rPr>
        <w:b/>
        <w:bCs/>
      </w:rPr>
      <w:fldChar w:fldCharType="end"/>
    </w:r>
    <w:r>
      <w:rPr>
        <w:b/>
        <w:bCs/>
      </w:rPr>
      <w:t xml:space="preserve"> – </w:t>
    </w:r>
    <w:r>
      <w:rPr>
        <w:b/>
        <w:bCs/>
      </w:rPr>
      <w:fldChar w:fldCharType="begin"/>
    </w:r>
    <w:r>
      <w:rPr>
        <w:b/>
        <w:bCs/>
      </w:rPr>
      <w:instrText xml:space="preserve"> TIME \@"H:mm\ AM/PM" </w:instrText>
    </w:r>
    <w:r>
      <w:rPr>
        <w:b/>
        <w:bCs/>
      </w:rPr>
      <w:fldChar w:fldCharType="separate"/>
    </w:r>
    <w:r>
      <w:rPr>
        <w:b/>
        <w:bCs/>
      </w:rPr>
      <w:t>8:20 AM</w:t>
    </w:r>
    <w:r>
      <w:rPr>
        <w:b/>
        <w:bCs/>
      </w:rPr>
      <w:fldChar w:fldCharType="end"/>
    </w:r>
    <w:r>
      <w:rPr>
        <w:b/>
        <w:bCs/>
      </w:rPr>
      <w:tab/>
    </w:r>
    <w:r>
      <w:rPr>
        <w:b/>
        <w:bCs/>
        <w:sz w:val="20"/>
      </w:rPr>
      <w:t>Privileged and Confidential</w:t>
    </w:r>
  </w:p>
  <w:p>
    <w:pPr>
      <w:pStyle w:val="Normal"/>
      <w:tabs>
        <w:tab w:val="clear" w:pos="720"/>
        <w:tab w:val="right" w:pos="9350" w:leader="none"/>
      </w:tabs>
      <w:rPr/>
    </w:pPr>
    <w:r>
      <w:rPr/>
      <w:fldChar w:fldCharType="begin"/>
    </w:r>
    <w:r>
      <w:rPr/>
      <w:instrText xml:space="preserve"> FILENAME \p </w:instrText>
    </w:r>
    <w:r>
      <w:rPr/>
      <w:fldChar w:fldCharType="separate"/>
    </w:r>
    <w:r>
      <w:rPr/>
      <w:t>/mnt/main-storage/datasets/enron-docs/doc/CalPX_s_Response_to_FERC_s_1st_Data_Requests.BLF0551.DOC</w:t>
    </w:r>
    <w:r>
      <w:rPr/>
      <w:fldChar w:fldCharType="end"/>
    </w:r>
    <w:r>
      <w:rPr/>
      <w:tab/>
    </w:r>
    <w:r>
      <w:rPr>
        <w:b/>
        <w:bCs/>
        <w:sz w:val="20"/>
      </w:rPr>
      <w:t>Attorney/Client Communication</w:t>
    </w:r>
  </w:p>
  <w:p>
    <w:pPr>
      <w:pStyle w:val="Normal"/>
      <w:tabs>
        <w:tab w:val="clear" w:pos="720"/>
        <w:tab w:val="right" w:pos="9350" w:leader="none"/>
      </w:tabs>
      <w:rPr>
        <w:b/>
        <w:bCs/>
        <w:sz w:val="20"/>
      </w:rPr>
    </w:pPr>
    <w:r>
      <w:rPr>
        <w:b/>
        <w:bCs/>
        <w:sz w:val="20"/>
      </w:rPr>
      <w:tab/>
      <w:t>Attorney Work Product</w:t>
    </w:r>
  </w:p>
  <w:p>
    <w:pPr>
      <w:pStyle w:val="Normal"/>
      <w:tabs>
        <w:tab w:val="clear" w:pos="720"/>
        <w:tab w:val="right" w:pos="9350" w:leader="none"/>
      </w:tabs>
      <w:rPr>
        <w:b/>
        <w:bCs/>
        <w:sz w:val="20"/>
      </w:rPr>
    </w:pPr>
    <w:r>
      <w:rPr>
        <w:b/>
        <w:bCs/>
        <w:sz w:val="20"/>
      </w:rPr>
    </w:r>
  </w:p>
  <w:p>
    <w:pPr>
      <w:pStyle w:val="Header"/>
      <w:tabs>
        <w:tab w:val="clear" w:pos="8640"/>
        <w:tab w:val="center" w:pos="4320" w:leader="none"/>
        <w:tab w:val="right" w:pos="9360" w:leader="none"/>
      </w:tabs>
      <w:rPr/>
    </w:pPr>
    <w:r>
      <w:rPr/>
      <w:t>Docket Nos. EL00-95-045 and EL00-98-042</w:t>
    </w:r>
  </w:p>
  <w:p>
    <w:pPr>
      <w:pStyle w:val="Header"/>
      <w:tabs>
        <w:tab w:val="clear" w:pos="8640"/>
        <w:tab w:val="center" w:pos="4320" w:leader="none"/>
        <w:tab w:val="right" w:pos="9360" w:leader="none"/>
      </w:tabs>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lang w:val="en-CA" w:eastAsia="en-CA"/>
      </w:rPr>
    </w:pPr>
    <w:r>
      <w:rPr>
        <w:lang w:val="en-CA" w:eastAsia="en-CA"/>
      </w:rPr>
      <mc:AlternateContent>
        <mc:Choice Requires="wps">
          <w:drawing>
            <wp:anchor behindDoc="1" distT="0" distB="0" distL="114935" distR="114935" simplePos="0" locked="0" layoutInCell="1" allowOverlap="1" relativeHeight="2">
              <wp:simplePos x="0" y="0"/>
              <wp:positionH relativeFrom="column">
                <wp:posOffset>0</wp:posOffset>
              </wp:positionH>
              <wp:positionV relativeFrom="paragraph">
                <wp:posOffset>99060</wp:posOffset>
              </wp:positionV>
              <wp:extent cx="5943600" cy="0"/>
              <wp:effectExtent l="0" t="19050" r="0" b="19050"/>
              <wp:wrapNone/>
              <wp:docPr id="5" name=""/>
              <a:graphic xmlns:a="http://schemas.openxmlformats.org/drawingml/2006/main">
                <a:graphicData uri="http://schemas.microsoft.com/office/word/2010/wordprocessingShape">
                  <wps:wsp>
                    <wps:cNvSpPr/>
                    <wps:spPr>
                      <a:xfrm>
                        <a:off x="0" y="0"/>
                        <a:ext cx="594360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0pt,7.8pt" to="467.95pt,7.8pt" stroked="t" o:allowincell="f" style="position:absolute">
              <v:stroke color="black" weight="38160" joinstyle="miter" endcap="flat"/>
              <v:fill o:detectmouseclick="t" on="false"/>
              <w10:wrap type="none"/>
            </v:line>
          </w:pict>
        </mc:Fallback>
      </mc:AlternateConten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sz w:val="28"/>
    </w:rPr>
  </w:style>
  <w:style w:type="paragraph" w:styleId="Heading2">
    <w:name w:val="heading 2"/>
    <w:basedOn w:val="Normal"/>
    <w:next w:val="Normal"/>
    <w:qFormat/>
    <w:pPr>
      <w:keepNext w:val="true"/>
      <w:numPr>
        <w:ilvl w:val="1"/>
        <w:numId w:val="1"/>
      </w:numPr>
      <w:ind w:firstLine="720" w:start="0" w:end="0"/>
      <w:outlineLvl w:val="1"/>
    </w:pPr>
    <w:rPr>
      <w:b/>
      <w:smallCaps/>
      <w:sz w:val="26"/>
    </w:rPr>
  </w:style>
  <w:style w:type="paragraph" w:styleId="Heading3">
    <w:name w:val="heading 3"/>
    <w:basedOn w:val="Normal"/>
    <w:next w:val="Normal"/>
    <w:qFormat/>
    <w:pPr>
      <w:keepNext w:val="true"/>
      <w:numPr>
        <w:ilvl w:val="2"/>
        <w:numId w:val="1"/>
      </w:numPr>
      <w:ind w:firstLine="1440" w:start="0" w:end="0"/>
      <w:outlineLvl w:val="2"/>
    </w:pPr>
    <w:rPr>
      <w:b/>
      <w:smallCaps/>
    </w:rPr>
  </w:style>
  <w:style w:type="paragraph" w:styleId="Heading4">
    <w:name w:val="heading 4"/>
    <w:basedOn w:val="Normal"/>
    <w:next w:val="Normal"/>
    <w:qFormat/>
    <w:pPr>
      <w:keepNext w:val="true"/>
      <w:numPr>
        <w:ilvl w:val="3"/>
        <w:numId w:val="1"/>
      </w:numPr>
      <w:tabs>
        <w:tab w:val="clear" w:pos="720"/>
        <w:tab w:val="right" w:pos="9360" w:leader="none"/>
      </w:tabs>
      <w:outlineLvl w:val="3"/>
    </w:pPr>
    <w:rPr>
      <w:b/>
      <w:bCs/>
      <w:sz w:val="20"/>
    </w:rPr>
  </w:style>
  <w:style w:type="paragraph" w:styleId="Heading5">
    <w:name w:val="heading 5"/>
    <w:basedOn w:val="Normal"/>
    <w:next w:val="Normal"/>
    <w:qFormat/>
    <w:pPr>
      <w:keepNext w:val="true"/>
      <w:numPr>
        <w:ilvl w:val="4"/>
        <w:numId w:val="1"/>
      </w:numPr>
      <w:jc w:val="center"/>
      <w:outlineLvl w:val="4"/>
    </w:pPr>
    <w:rPr>
      <w:b/>
      <w:bCs/>
      <w:u w:val="single"/>
    </w:rPr>
  </w:style>
  <w:style w:type="paragraph" w:styleId="Heading6">
    <w:name w:val="heading 6"/>
    <w:basedOn w:val="Normal"/>
    <w:next w:val="Normal"/>
    <w:qFormat/>
    <w:pPr>
      <w:keepNext w:val="true"/>
      <w:numPr>
        <w:ilvl w:val="5"/>
        <w:numId w:val="1"/>
      </w:numPr>
      <w:jc w:val="center"/>
      <w:outlineLvl w:val="5"/>
    </w:pPr>
    <w:rPr>
      <w:b/>
    </w:rPr>
  </w:style>
  <w:style w:type="paragraph" w:styleId="Heading7">
    <w:name w:val="heading 7"/>
    <w:basedOn w:val="Normal"/>
    <w:next w:val="Normal"/>
    <w:qFormat/>
    <w:pPr>
      <w:keepNext w:val="true"/>
      <w:numPr>
        <w:ilvl w:val="6"/>
        <w:numId w:val="1"/>
      </w:numPr>
      <w:outlineLvl w:val="6"/>
    </w:pPr>
    <w:rPr>
      <w:b/>
      <w:bCs/>
      <w:u w:val="single"/>
    </w:rPr>
  </w:style>
  <w:style w:type="character" w:styleId="DefaultParagraphFont">
    <w:name w:val="Default Paragraph Font"/>
    <w:qFormat/>
    <w:rPr/>
  </w:style>
  <w:style w:type="character" w:styleId="FootnoteCharacters">
    <w:name w:val="Footnote Characters"/>
    <w:qFormat/>
    <w:rPr>
      <w:rFonts w:ascii="Arial" w:hAnsi="Arial" w:cs="Arial"/>
      <w:b/>
      <w:sz w:val="20"/>
      <w:u w:val="single"/>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tabs>
        <w:tab w:val="clear" w:pos="720"/>
        <w:tab w:val="left" w:pos="432" w:leader="none"/>
      </w:tabs>
      <w:ind w:hanging="432" w:start="432"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9360" w:leader="none"/>
      </w:tabs>
    </w:pPr>
    <w:rPr/>
  </w:style>
  <w:style w:type="paragraph" w:styleId="Date">
    <w:name w:val="Date"/>
    <w:basedOn w:val="Normal"/>
    <w:next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hmcgrew@brudergentile.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FERC</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2001-08-22T16:33:00Z</dcterms:created>
  <dc:creator>blfetherolf</dc:creator>
  <dc:description/>
  <dc:language>en-CA</dc:language>
  <cp:lastModifiedBy>blfetherolf</cp:lastModifiedBy>
  <cp:lastPrinted>2001-08-22T15:02:00Z</cp:lastPrinted>
  <dcterms:modified xsi:type="dcterms:W3CDTF">2001-08-22T16:33:00Z</dcterms:modified>
  <cp:revision>2</cp:revision>
  <dc:subject/>
  <dc:title>PX's Responses to FERC Staff's 1st Data Requests  (BLF0551.DOC;1)</dc:title>
</cp:coreProperties>
</file>