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color w:val="0000FF"/>
        </w:rPr>
        <w:drawing>
          <wp:inline distT="0" distB="0" distL="0" distR="0">
            <wp:extent cx="2381250" cy="190500"/>
            <wp:effectExtent l="0" t="0" r="0" b="0"/>
            <wp:docPr id="1" name="djn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jn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5" t="-189" r="-15" b="-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br/>
      </w:r>
      <w:r>
        <w:rPr>
          <w:b/>
          <w:bCs/>
        </w:rPr>
        <w:t>CalPX To Run 2nd Auction Of Alberta Power Contracts</w:t>
      </w:r>
      <w:r>
        <w:rPr/>
        <w:br/>
        <w:t xml:space="preserve">  </w:t>
        <w:br/>
        <w:t xml:space="preserve">11/14/2000 </w:t>
        <w:br/>
        <w:t xml:space="preserve">Dow Jones Energy Service </w:t>
        <w:br/>
        <w:t xml:space="preserve">(Copyright (c) 2000, Dow Jones &amp; Company, Inc.) </w:t>
      </w:r>
    </w:p>
    <w:p>
      <w:pPr>
        <w:pStyle w:val="NormalWeb"/>
        <w:rPr/>
      </w:pPr>
      <w:r>
        <w:rPr/>
        <w:t xml:space="preserve">TORONTO -(Dow Jones)- California Power Exchange said it has been hired to run the Alberta auction of about 1,900 megawatts of generating capacity Nov. 29. </w:t>
      </w:r>
    </w:p>
    <w:p>
      <w:pPr>
        <w:pStyle w:val="NormalWeb"/>
        <w:rPr/>
      </w:pPr>
      <w:r>
        <w:rPr/>
        <w:t xml:space="preserve">As reported, Alberta Resource Development is auctioning the marketing/consumption rights unsold from a larger August auction in packets as small as 2 megawatts, for terms as short as a year. </w:t>
      </w:r>
    </w:p>
    <w:p>
      <w:pPr>
        <w:pStyle w:val="NormalWeb"/>
        <w:rPr/>
      </w:pPr>
      <w:r>
        <w:rPr/>
        <w:t xml:space="preserve">"The sale is expected to be of interest to companies offering Alberta consumers the regulated rate option, retailers and direct-use industries, businesses and public institutions such as hospitals and universities," CalPX said in the release. </w:t>
      </w:r>
    </w:p>
    <w:p>
      <w:pPr>
        <w:pStyle w:val="NormalWeb"/>
        <w:rPr/>
      </w:pPr>
      <w:r>
        <w:rPr/>
        <w:t xml:space="preserve">The auction will be run through the same software that CalPX uses for its forwards market in California, a spokeswoman said. </w:t>
      </w:r>
    </w:p>
    <w:p>
      <w:pPr>
        <w:pStyle w:val="NormalWeb"/>
        <w:rPr/>
      </w:pPr>
      <w:r>
        <w:rPr/>
        <w:t xml:space="preserve">CalPX will also launch the day-ahead market for Alberta as soon as this week, pending the go-ahead from securities regulators, she said. </w:t>
      </w:r>
    </w:p>
    <w:p>
      <w:pPr>
        <w:pStyle w:val="NormalWeb"/>
        <w:rPr/>
      </w:pPr>
      <w:r>
        <w:rPr/>
        <w:t xml:space="preserve">The first auction, conducted by Charles Rivers Associates Inc. (CRAI), sold 4,249 megawatts of capacity, raising C$1.1 billion of cash. That capacity was bundled at the plant level and sold to large power players, such as Epcor Utilities Inc. (X.EPU), the Edmonton city utility. </w:t>
      </w:r>
    </w:p>
    <w:p>
      <w:pPr>
        <w:pStyle w:val="NormalWeb"/>
        <w:rPr/>
      </w:pPr>
      <w:r>
        <w:rPr/>
        <w:t xml:space="preserve">The auction doesn't mean a change in ownership of the plants but redistributes the market power of the owners to introduce new players into the market as part of the province's electricity industry restructuring. </w:t>
      </w:r>
    </w:p>
    <w:p>
      <w:pPr>
        <w:pStyle w:val="NormalWeb"/>
        <w:rPr/>
      </w:pPr>
      <w:r>
        <w:rPr/>
        <w:t xml:space="preserve">The November auction covers the power from the Sheerness units owned by ATCO Ltd. (ACO.X), and the Clover Bar and Genesee units owned by Epcor. </w:t>
      </w:r>
    </w:p>
    <w:p>
      <w:pPr>
        <w:pStyle w:val="HTMLPreformatted"/>
        <w:rPr>
          <w:rFonts w:ascii="Lucida Console" w:hAnsi="Lucida Console" w:eastAsia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</w:t>
      </w:r>
    </w:p>
    <w:p>
      <w:pPr>
        <w:pStyle w:val="Normal"/>
        <w:rPr/>
      </w:pPr>
      <w:r>
        <w:rPr/>
        <w:t xml:space="preserve">Company Web site: http://www.calpx.com </w:t>
      </w:r>
    </w:p>
    <w:p>
      <w:pPr>
        <w:pStyle w:val="HTMLPreformatted"/>
        <w:rPr>
          <w:rFonts w:ascii="Lucida Console" w:hAnsi="Lucida Console" w:eastAsia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</w:t>
      </w:r>
    </w:p>
    <w:p>
      <w:pPr>
        <w:pStyle w:val="Normal"/>
        <w:rPr/>
      </w:pPr>
      <w:r>
        <w:rPr/>
        <w:t>-By Cheryl Kim, Dow Jones Newswires; 416-306-2017; cheryl.kim@dowjones.com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  <w:font w:name="Lucida Console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nrstg1s.djnr.com/cgi-bin/DJInteractive?cgi=WEB_PUB_DETAILS&amp;GJANum=232801765&amp;page=st_channels/pubdetails&amp;SC=NRG&amp;NEWSC=NRG&amp;Single=On&amp;logo=yes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2000-11-14T18:27:00Z</dcterms:created>
  <dc:creator>mbuster</dc:creator>
  <dc:description/>
  <dc:language>en-CA</dc:language>
  <cp:lastModifiedBy>mbuster</cp:lastModifiedBy>
  <dcterms:modified xsi:type="dcterms:W3CDTF">2000-11-14T18:28:00Z</dcterms:modified>
  <cp:revision>1</cp:revision>
  <dc:subject/>
  <dc:title> </dc:title>
</cp:coreProperties>
</file>