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spacing w:lineRule="auto" w:line="240"/>
        <w:ind w:hanging="0" w:start="0"/>
        <w:rPr>
          <w:rFonts w:ascii="Courier New" w:hAnsi="Courier New" w:cs="Courier New"/>
        </w:rPr>
      </w:pPr>
      <w:r>
        <w:rPr>
          <w:rFonts w:cs="Courier New" w:ascii="Courier New" w:hAnsi="Courier New"/>
        </w:rPr>
        <w:t>JOSEPH A. EISENBERG P.C. (SBN 52346)</w:t>
      </w:r>
    </w:p>
    <w:p>
      <w:pPr>
        <w:pStyle w:val="BodyText2"/>
        <w:spacing w:lineRule="auto" w:line="240"/>
        <w:rPr>
          <w:rFonts w:ascii="Courier New" w:hAnsi="Courier New" w:cs="Courier New"/>
        </w:rPr>
      </w:pPr>
      <w:r>
        <w:rPr>
          <w:rFonts w:cs="Courier New" w:ascii="Courier New" w:hAnsi="Courier New"/>
        </w:rPr>
        <w:t>DAN P. SEDOR (SBN 139091)</w:t>
      </w:r>
    </w:p>
    <w:p>
      <w:pPr>
        <w:pStyle w:val="BodyText2"/>
        <w:spacing w:lineRule="auto" w:line="240"/>
        <w:rPr>
          <w:rFonts w:ascii="Courier New" w:hAnsi="Courier New" w:cs="Courier New"/>
        </w:rPr>
      </w:pPr>
      <w:r>
        <w:rPr>
          <w:rFonts w:cs="Courier New" w:ascii="Courier New" w:hAnsi="Courier New"/>
        </w:rPr>
        <w:t>VICTORIA S. KAUFMAN (SBN 144718)</w:t>
        <w:br/>
        <w:t>JEFFER, MANGELS, BUTLER &amp; MARMARO LLP</w:t>
      </w:r>
    </w:p>
    <w:p>
      <w:pPr>
        <w:pStyle w:val="Normal"/>
        <w:spacing w:lineRule="auto" w:line="240"/>
        <w:rPr>
          <w:rFonts w:ascii="Courier New" w:hAnsi="Courier New" w:cs="Courier New"/>
          <w:sz w:val="24"/>
        </w:rPr>
      </w:pPr>
      <w:r>
        <w:rPr>
          <w:rFonts w:cs="Courier New" w:ascii="Courier New" w:hAnsi="Courier New"/>
          <w:sz w:val="24"/>
        </w:rPr>
        <w:t>2121 Avenue of the Stars, Tenth Floor</w:t>
      </w:r>
    </w:p>
    <w:p>
      <w:pPr>
        <w:pStyle w:val="Normal"/>
        <w:spacing w:lineRule="auto" w:line="240"/>
        <w:rPr>
          <w:rFonts w:ascii="Courier New" w:hAnsi="Courier New" w:cs="Courier New"/>
          <w:sz w:val="24"/>
        </w:rPr>
      </w:pPr>
      <w:r>
        <w:rPr>
          <w:rFonts w:cs="Courier New" w:ascii="Courier New" w:hAnsi="Courier New"/>
          <w:sz w:val="24"/>
        </w:rPr>
        <w:t>Los Angeles, California 90067-5010</w:t>
      </w:r>
    </w:p>
    <w:p>
      <w:pPr>
        <w:pStyle w:val="Normal"/>
        <w:spacing w:lineRule="auto" w:line="240"/>
        <w:rPr>
          <w:rFonts w:ascii="Courier New" w:hAnsi="Courier New" w:cs="Courier New"/>
          <w:sz w:val="24"/>
        </w:rPr>
      </w:pPr>
      <w:r>
        <w:rPr>
          <w:rFonts w:cs="Courier New" w:ascii="Courier New" w:hAnsi="Courier New"/>
          <w:sz w:val="24"/>
        </w:rPr>
        <w:t>Telephone:  (310) 203-8080</w:t>
      </w:r>
    </w:p>
    <w:p>
      <w:pPr>
        <w:pStyle w:val="Normal"/>
        <w:spacing w:lineRule="auto" w:line="240"/>
        <w:rPr>
          <w:rFonts w:ascii="Courier New" w:hAnsi="Courier New" w:cs="Courier New"/>
          <w:sz w:val="24"/>
        </w:rPr>
      </w:pPr>
      <w:r>
        <w:rPr>
          <w:rFonts w:cs="Courier New" w:ascii="Courier New" w:hAnsi="Courier New"/>
          <w:sz w:val="24"/>
        </w:rPr>
        <w:t>Fax:  (310) 203-0567</w:t>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rPr>
          <w:rFonts w:ascii="Courier New" w:hAnsi="Courier New" w:cs="Courier New"/>
          <w:sz w:val="24"/>
        </w:rPr>
      </w:pPr>
      <w:r>
        <w:rPr>
          <w:rFonts w:cs="Courier New" w:ascii="Courier New" w:hAnsi="Courier New"/>
          <w:sz w:val="24"/>
        </w:rPr>
        <w:t xml:space="preserve">Proposed Attorneys for Debtor and </w:t>
        <w:br/>
        <w:t>Debtor in Possession</w:t>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jc w:val="center"/>
        <w:rPr>
          <w:rFonts w:ascii="Courier New" w:hAnsi="Courier New" w:cs="Courier New"/>
          <w:sz w:val="24"/>
        </w:rPr>
      </w:pPr>
      <w:r>
        <w:rPr>
          <w:rFonts w:cs="Courier New" w:ascii="Courier New" w:hAnsi="Courier New"/>
          <w:sz w:val="24"/>
        </w:rPr>
        <w:t>UNITED STATES BANKRUPTCY COURT</w:t>
      </w:r>
    </w:p>
    <w:p>
      <w:pPr>
        <w:pStyle w:val="Normal"/>
        <w:spacing w:lineRule="auto" w:line="240"/>
        <w:jc w:val="center"/>
        <w:rPr>
          <w:rFonts w:ascii="Courier New" w:hAnsi="Courier New" w:cs="Courier New"/>
          <w:sz w:val="24"/>
        </w:rPr>
      </w:pPr>
      <w:r>
        <w:rPr>
          <w:rFonts w:cs="Courier New" w:ascii="Courier New" w:hAnsi="Courier New"/>
          <w:sz w:val="24"/>
        </w:rPr>
      </w:r>
    </w:p>
    <w:p>
      <w:pPr>
        <w:pStyle w:val="Normal"/>
        <w:spacing w:lineRule="auto" w:line="240"/>
        <w:jc w:val="center"/>
        <w:rPr>
          <w:rFonts w:ascii="Courier New" w:hAnsi="Courier New" w:cs="Courier New"/>
          <w:sz w:val="24"/>
        </w:rPr>
      </w:pPr>
      <w:r>
        <w:rPr>
          <w:rFonts w:cs="Courier New" w:ascii="Courier New" w:hAnsi="Courier New"/>
          <w:sz w:val="24"/>
        </w:rPr>
        <w:t>CENTRAL DISTRICT OF CALIFORNIA</w:t>
      </w:r>
    </w:p>
    <w:p>
      <w:pPr>
        <w:pStyle w:val="Normal"/>
        <w:spacing w:lineRule="auto" w:line="240"/>
        <w:jc w:val="center"/>
        <w:rPr>
          <w:rFonts w:ascii="Courier New" w:hAnsi="Courier New" w:cs="Courier New"/>
          <w:sz w:val="24"/>
        </w:rPr>
      </w:pPr>
      <w:r>
        <w:rPr>
          <w:rFonts w:cs="Courier New" w:ascii="Courier New" w:hAnsi="Courier New"/>
          <w:sz w:val="24"/>
        </w:rPr>
      </w:r>
    </w:p>
    <w:p>
      <w:pPr>
        <w:pStyle w:val="Normal"/>
        <w:spacing w:lineRule="auto" w:line="240"/>
        <w:jc w:val="center"/>
        <w:rPr>
          <w:rFonts w:ascii="Courier New" w:hAnsi="Courier New" w:cs="Courier New"/>
          <w:sz w:val="24"/>
        </w:rPr>
      </w:pPr>
      <w:r>
        <w:rPr>
          <w:rFonts w:cs="Courier New" w:ascii="Courier New" w:hAnsi="Courier New"/>
          <w:sz w:val="24"/>
        </w:rPr>
        <w:t>LOS ANGELES DIVISION</w:t>
      </w:r>
    </w:p>
    <w:p>
      <w:pPr>
        <w:pStyle w:val="Normal"/>
        <w:spacing w:lineRule="auto" w:line="240"/>
        <w:jc w:val="center"/>
        <w:rPr>
          <w:rFonts w:ascii="Courier New" w:hAnsi="Courier New" w:cs="Courier New"/>
          <w:sz w:val="24"/>
        </w:rPr>
      </w:pPr>
      <w:r>
        <w:rPr>
          <w:rFonts w:cs="Courier New" w:ascii="Courier New" w:hAnsi="Courier New"/>
          <w:sz w:val="24"/>
        </w:rPr>
      </w:r>
    </w:p>
    <w:tbl>
      <w:tblPr>
        <w:tblW w:w="9576" w:type="dxa"/>
        <w:jc w:val="start"/>
        <w:tblInd w:w="0" w:type="dxa"/>
        <w:tblLayout w:type="fixed"/>
        <w:tblCellMar>
          <w:top w:w="0" w:type="dxa"/>
          <w:start w:w="108" w:type="dxa"/>
          <w:bottom w:w="0" w:type="dxa"/>
          <w:end w:w="108" w:type="dxa"/>
        </w:tblCellMar>
      </w:tblPr>
      <w:tblGrid>
        <w:gridCol w:w="4825"/>
        <w:gridCol w:w="361"/>
        <w:gridCol w:w="4390"/>
      </w:tblGrid>
      <w:tr>
        <w:trPr/>
        <w:tc>
          <w:tcPr>
            <w:tcW w:w="4825" w:type="dxa"/>
            <w:tcBorders>
              <w:bottom w:val="single" w:sz="4" w:space="0" w:color="000000"/>
            </w:tcBorders>
          </w:tcPr>
          <w:p>
            <w:pPr>
              <w:pStyle w:val="Normal"/>
              <w:spacing w:lineRule="auto" w:line="240"/>
              <w:rPr>
                <w:rFonts w:ascii="Courier New" w:hAnsi="Courier New" w:cs="Courier New"/>
                <w:sz w:val="24"/>
              </w:rPr>
            </w:pPr>
            <w:r>
              <w:rPr>
                <w:rFonts w:cs="Courier New" w:ascii="Courier New" w:hAnsi="Courier New"/>
                <w:sz w:val="24"/>
              </w:rPr>
              <w:t>In re</w:t>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rPr>
                <w:rFonts w:ascii="Courier New" w:hAnsi="Courier New" w:cs="Courier New"/>
                <w:sz w:val="24"/>
              </w:rPr>
            </w:pPr>
            <w:r>
              <w:rPr>
                <w:rFonts w:cs="Courier New" w:ascii="Courier New" w:hAnsi="Courier New"/>
                <w:sz w:val="24"/>
              </w:rPr>
              <w:t>CALIFORNIA POWER EXCHANGE CORPORATION, a California non-profit public benefit corporation,</w:t>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ind w:firstLine="2340" w:end="0"/>
              <w:rPr>
                <w:rFonts w:ascii="Courier New" w:hAnsi="Courier New" w:cs="Courier New"/>
                <w:sz w:val="24"/>
              </w:rPr>
            </w:pPr>
            <w:r>
              <w:rPr>
                <w:rFonts w:cs="Courier New" w:ascii="Courier New" w:hAnsi="Courier New"/>
                <w:sz w:val="24"/>
              </w:rPr>
              <w:t>Debtor.</w:t>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rPr>
                <w:rFonts w:ascii="Courier New" w:hAnsi="Courier New" w:cs="Courier New"/>
                <w:sz w:val="24"/>
              </w:rPr>
            </w:pPr>
            <w:r>
              <w:rPr>
                <w:rFonts w:cs="Courier New" w:ascii="Courier New" w:hAnsi="Courier New"/>
                <w:sz w:val="24"/>
              </w:rPr>
              <w:t>Tax I.D. No.:  95-4640368</w:t>
            </w:r>
          </w:p>
          <w:p>
            <w:pPr>
              <w:pStyle w:val="Normal"/>
              <w:spacing w:lineRule="auto" w:line="240"/>
              <w:rPr>
                <w:rFonts w:ascii="Courier New" w:hAnsi="Courier New" w:cs="Courier New"/>
                <w:sz w:val="24"/>
              </w:rPr>
            </w:pPr>
            <w:r>
              <w:rPr>
                <w:rFonts w:cs="Courier New" w:ascii="Courier New" w:hAnsi="Courier New"/>
                <w:sz w:val="24"/>
              </w:rPr>
              <w:t>________________________________</w:t>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rPr>
                <w:rFonts w:ascii="Courier New" w:hAnsi="Courier New" w:cs="Courier New"/>
                <w:sz w:val="24"/>
              </w:rPr>
            </w:pPr>
            <w:r>
              <w:rPr>
                <w:rFonts w:cs="Courier New" w:ascii="Courier New" w:hAnsi="Courier New"/>
                <w:sz w:val="24"/>
              </w:rPr>
              <w:t>CALIFORNIA POWER EXCHANGE CORPORATION, a California non-profit public benefit corporation,</w:t>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ind w:firstLine="2340" w:end="0"/>
              <w:rPr>
                <w:rFonts w:ascii="Courier New" w:hAnsi="Courier New" w:cs="Courier New"/>
                <w:sz w:val="24"/>
              </w:rPr>
            </w:pPr>
            <w:r>
              <w:rPr>
                <w:rFonts w:cs="Courier New" w:ascii="Courier New" w:hAnsi="Courier New"/>
                <w:sz w:val="24"/>
              </w:rPr>
              <w:t>Movant,</w:t>
            </w:r>
          </w:p>
          <w:p>
            <w:pPr>
              <w:pStyle w:val="Normal"/>
              <w:spacing w:lineRule="auto" w:line="240"/>
              <w:ind w:firstLine="2340" w:end="0"/>
              <w:rPr>
                <w:rFonts w:ascii="Courier New" w:hAnsi="Courier New" w:cs="Courier New"/>
                <w:sz w:val="24"/>
              </w:rPr>
            </w:pPr>
            <w:r>
              <w:rPr>
                <w:rFonts w:cs="Courier New" w:ascii="Courier New" w:hAnsi="Courier New"/>
                <w:sz w:val="24"/>
              </w:rPr>
            </w:r>
          </w:p>
          <w:p>
            <w:pPr>
              <w:pStyle w:val="BodyText2"/>
              <w:rPr>
                <w:rFonts w:ascii="Courier New" w:hAnsi="Courier New" w:cs="Courier New"/>
              </w:rPr>
            </w:pPr>
            <w:r>
              <w:rPr>
                <w:rFonts w:cs="Courier New" w:ascii="Courier New" w:hAnsi="Courier New"/>
              </w:rPr>
              <w:t>vs.</w:t>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rPr>
                <w:rFonts w:ascii="Courier New" w:hAnsi="Courier New" w:cs="Courier New"/>
                <w:sz w:val="24"/>
              </w:rPr>
            </w:pPr>
            <w:r>
              <w:rPr>
                <w:rFonts w:cs="Courier New" w:ascii="Courier New" w:hAnsi="Courier New"/>
                <w:sz w:val="24"/>
              </w:rPr>
              <w:t>CORAL POWER, L.L.C., and those entities set forth on Exhibit A hereto,</w:t>
            </w:r>
          </w:p>
          <w:p>
            <w:pPr>
              <w:pStyle w:val="Normal"/>
              <w:spacing w:lineRule="auto" w:line="240"/>
              <w:rPr>
                <w:rFonts w:ascii="Courier New" w:hAnsi="Courier New" w:cs="Courier New"/>
                <w:sz w:val="24"/>
              </w:rPr>
            </w:pPr>
            <w:r>
              <w:rPr>
                <w:rFonts w:cs="Courier New" w:ascii="Courier New" w:hAnsi="Courier New"/>
                <w:sz w:val="24"/>
              </w:rPr>
            </w:r>
          </w:p>
          <w:p>
            <w:pPr>
              <w:pStyle w:val="Normal"/>
              <w:spacing w:lineRule="auto" w:line="240"/>
              <w:ind w:firstLine="2340" w:end="0"/>
              <w:rPr>
                <w:rFonts w:ascii="Courier New" w:hAnsi="Courier New" w:cs="Courier New"/>
                <w:sz w:val="24"/>
              </w:rPr>
            </w:pPr>
            <w:r>
              <w:rPr>
                <w:rFonts w:cs="Courier New" w:ascii="Courier New" w:hAnsi="Courier New"/>
                <w:sz w:val="24"/>
              </w:rPr>
              <w:t>Respondents.</w:t>
            </w:r>
          </w:p>
          <w:p>
            <w:pPr>
              <w:pStyle w:val="Normal"/>
              <w:spacing w:lineRule="auto" w:line="240"/>
              <w:rPr>
                <w:rFonts w:ascii="Courier New" w:hAnsi="Courier New" w:cs="Courier New"/>
                <w:sz w:val="24"/>
              </w:rPr>
            </w:pPr>
            <w:r>
              <w:rPr>
                <w:rFonts w:cs="Courier New" w:ascii="Courier New" w:hAnsi="Courier New"/>
                <w:sz w:val="24"/>
              </w:rPr>
            </w:r>
          </w:p>
        </w:tc>
        <w:tc>
          <w:tcPr>
            <w:tcW w:w="361" w:type="dxa"/>
            <w:tcBorders/>
          </w:tcPr>
          <w:p>
            <w:pPr>
              <w:pStyle w:val="Normal"/>
              <w:spacing w:lineRule="auto" w:line="240"/>
              <w:rPr>
                <w:rFonts w:ascii="Courier New" w:hAnsi="Courier New" w:cs="Courier New"/>
                <w:sz w:val="24"/>
              </w:rPr>
            </w:pPr>
            <w:r>
              <w:rPr>
                <w:rFonts w:cs="Courier New" w:ascii="Courier New" w:hAnsi="Courier New"/>
                <w:sz w:val="24"/>
              </w:rPr>
              <w:t>)</w:t>
            </w:r>
          </w:p>
          <w:p>
            <w:pPr>
              <w:pStyle w:val="Normal"/>
              <w:spacing w:lineRule="auto" w:line="240"/>
              <w:rPr>
                <w:rFonts w:ascii="Courier New" w:hAnsi="Courier New" w:cs="Courier New"/>
                <w:sz w:val="24"/>
              </w:rPr>
            </w:pPr>
            <w:r>
              <w:rPr>
                <w:rFonts w:cs="Courier New" w:ascii="Courier New" w:hAnsi="Courier New"/>
                <w:sz w:val="24"/>
              </w:rPr>
              <w:t>)</w:t>
              <w:br/>
              <w:t>)</w:t>
              <w:br/>
              <w:t>)</w:t>
              <w:br/>
              <w:t>)</w:t>
              <w:br/>
              <w:t>)</w:t>
              <w:br/>
              <w:t>)</w:t>
              <w:br/>
              <w:t>)</w:t>
              <w:br/>
              <w:t>)</w:t>
              <w:br/>
              <w:t>)</w:t>
              <w:br/>
              <w:t>)</w:t>
              <w:br/>
              <w:t>)</w:t>
              <w:br/>
              <w:t>)</w:t>
              <w:br/>
              <w:t>)</w:t>
              <w:br/>
              <w:t>)</w:t>
              <w:br/>
              <w:t>)</w:t>
              <w:br/>
              <w:t>)</w:t>
              <w:br/>
              <w:t>)</w:t>
              <w:br/>
              <w:t>)</w:t>
              <w:br/>
              <w:t>)</w:t>
              <w:br/>
              <w:t>)</w:t>
              <w:br/>
              <w:t>)</w:t>
              <w:br/>
              <w:t>)</w:t>
              <w:br/>
              <w:t>)</w:t>
              <w:br/>
              <w:t>)</w:t>
              <w:br/>
              <w:t>)</w:t>
              <w:br/>
              <w:t>)</w:t>
            </w:r>
          </w:p>
          <w:p>
            <w:pPr>
              <w:pStyle w:val="Normal"/>
              <w:spacing w:lineRule="auto" w:line="240"/>
              <w:rPr>
                <w:rFonts w:ascii="Courier New" w:hAnsi="Courier New" w:cs="Courier New"/>
                <w:sz w:val="24"/>
              </w:rPr>
            </w:pPr>
            <w:r>
              <w:rPr>
                <w:rFonts w:cs="Courier New" w:ascii="Courier New" w:hAnsi="Courier New"/>
                <w:sz w:val="24"/>
              </w:rPr>
              <w:t>)</w:t>
            </w:r>
          </w:p>
        </w:tc>
        <w:tc>
          <w:tcPr>
            <w:tcW w:w="4390" w:type="dxa"/>
            <w:tcBorders/>
          </w:tcPr>
          <w:p>
            <w:pPr>
              <w:pStyle w:val="Normal"/>
              <w:spacing w:lineRule="auto" w:line="240"/>
              <w:rPr/>
            </w:pPr>
            <w:r>
              <w:rPr>
                <w:rFonts w:cs="Courier New" w:ascii="Courier New" w:hAnsi="Courier New"/>
                <w:sz w:val="24"/>
              </w:rPr>
              <w:t xml:space="preserve">Case No. </w:t>
            </w:r>
            <w:r>
              <w:rPr>
                <w:rFonts w:cs="Courier New" w:ascii="Courier New" w:hAnsi="Courier New"/>
                <w:sz w:val="24"/>
                <w:lang w:val="fr-FR"/>
              </w:rPr>
              <w:t>LA 01-16577-ES</w:t>
            </w:r>
          </w:p>
          <w:p>
            <w:pPr>
              <w:pStyle w:val="Normal"/>
              <w:spacing w:lineRule="auto" w:line="240"/>
              <w:rPr>
                <w:rFonts w:ascii="Courier New" w:hAnsi="Courier New" w:cs="Courier New"/>
                <w:sz w:val="24"/>
                <w:lang w:val="fr-FR"/>
              </w:rPr>
            </w:pPr>
            <w:r>
              <w:rPr>
                <w:rFonts w:cs="Courier New" w:ascii="Courier New" w:hAnsi="Courier New"/>
                <w:sz w:val="24"/>
                <w:lang w:val="fr-FR"/>
              </w:rPr>
            </w:r>
          </w:p>
          <w:p>
            <w:pPr>
              <w:pStyle w:val="Normal"/>
              <w:spacing w:lineRule="auto" w:line="240"/>
              <w:rPr>
                <w:rFonts w:ascii="Courier New" w:hAnsi="Courier New" w:cs="Courier New"/>
                <w:sz w:val="24"/>
                <w:lang w:val="fr-FR"/>
              </w:rPr>
            </w:pPr>
            <w:r>
              <w:rPr>
                <w:rFonts w:cs="Courier New" w:ascii="Courier New" w:hAnsi="Courier New"/>
                <w:sz w:val="24"/>
                <w:lang w:val="fr-FR"/>
              </w:rPr>
              <w:t>Chapter 11</w:t>
            </w:r>
          </w:p>
          <w:p>
            <w:pPr>
              <w:pStyle w:val="Normal"/>
              <w:spacing w:lineRule="auto" w:line="240"/>
              <w:rPr>
                <w:rFonts w:ascii="Courier New" w:hAnsi="Courier New" w:cs="Courier New"/>
                <w:sz w:val="24"/>
                <w:lang w:val="fr-FR"/>
              </w:rPr>
            </w:pPr>
            <w:r>
              <w:rPr>
                <w:rFonts w:cs="Courier New" w:ascii="Courier New" w:hAnsi="Courier New"/>
                <w:sz w:val="24"/>
                <w:lang w:val="fr-FR"/>
              </w:rPr>
            </w:r>
          </w:p>
          <w:p>
            <w:pPr>
              <w:pStyle w:val="BodyText3"/>
              <w:rPr>
                <w:b w:val="false"/>
                <w:bCs w:val="false"/>
              </w:rPr>
            </w:pPr>
            <w:r>
              <w:rPr/>
              <w:t>NOTICE OF DEBTOR’S MOTION AND MOTION FOR ORDER MODIFYING AUTOMATIC STAY TO PERMIT: (1) CONTINUATION OF PROCEEDINGS BEFORE THE FEDERAL ENERGY REGULATORY COMMISSION, AND (2) PRESERVATION OF STATUS QUO PURSUANT TO PRELIMINARY INJUNCTION ISSUED BY THE UNITED STATES DISTRICT COURT; MEMORANDUM OF POINTS AND AUTHORITIES; DECLARATION OF LISA G. URICK, ESQ.</w:t>
            </w:r>
          </w:p>
          <w:p>
            <w:pPr>
              <w:pStyle w:val="Normal"/>
              <w:spacing w:lineRule="auto" w:line="240"/>
              <w:rPr>
                <w:rFonts w:ascii="Courier New" w:hAnsi="Courier New" w:cs="Courier New"/>
                <w:b/>
                <w:bCs/>
                <w:sz w:val="24"/>
              </w:rPr>
            </w:pPr>
            <w:r>
              <w:rPr>
                <w:rFonts w:cs="Courier New" w:ascii="Courier New" w:hAnsi="Courier New"/>
                <w:b/>
                <w:bCs/>
                <w:sz w:val="24"/>
              </w:rPr>
            </w:r>
          </w:p>
          <w:p>
            <w:pPr>
              <w:pStyle w:val="Normal"/>
              <w:spacing w:lineRule="auto" w:line="240"/>
              <w:rPr>
                <w:rFonts w:ascii="Courier New" w:hAnsi="Courier New" w:cs="Courier New"/>
                <w:b/>
                <w:bCs/>
                <w:sz w:val="24"/>
              </w:rPr>
            </w:pPr>
            <w:r>
              <w:rPr>
                <w:rFonts w:cs="Courier New" w:ascii="Courier New" w:hAnsi="Courier New"/>
                <w:b/>
                <w:bCs/>
                <w:sz w:val="24"/>
              </w:rPr>
            </w:r>
          </w:p>
          <w:p>
            <w:pPr>
              <w:pStyle w:val="BodyText2"/>
              <w:spacing w:lineRule="auto" w:line="240"/>
              <w:rPr>
                <w:rFonts w:ascii="Courier New" w:hAnsi="Courier New" w:cs="Courier New"/>
              </w:rPr>
            </w:pPr>
            <w:r>
              <w:rPr>
                <w:rFonts w:cs="Courier New" w:ascii="Courier New" w:hAnsi="Courier New"/>
              </w:rPr>
              <w:t>Date:</w:t>
            </w:r>
          </w:p>
          <w:p>
            <w:pPr>
              <w:pStyle w:val="Normal"/>
              <w:spacing w:lineRule="auto" w:line="240"/>
              <w:rPr>
                <w:rFonts w:ascii="Courier New" w:hAnsi="Courier New" w:cs="Courier New"/>
                <w:sz w:val="24"/>
              </w:rPr>
            </w:pPr>
            <w:r>
              <w:rPr>
                <w:rFonts w:cs="Courier New" w:ascii="Courier New" w:hAnsi="Courier New"/>
                <w:sz w:val="24"/>
              </w:rPr>
              <w:t>Time:</w:t>
            </w:r>
          </w:p>
          <w:p>
            <w:pPr>
              <w:pStyle w:val="Normal"/>
              <w:spacing w:lineRule="auto" w:line="240"/>
              <w:rPr>
                <w:rFonts w:ascii="Courier New" w:hAnsi="Courier New" w:cs="Courier New"/>
                <w:sz w:val="24"/>
              </w:rPr>
            </w:pPr>
            <w:r>
              <w:rPr>
                <w:rFonts w:cs="Courier New" w:ascii="Courier New" w:hAnsi="Courier New"/>
                <w:sz w:val="24"/>
              </w:rPr>
              <w:t>Ctrm:  1645</w:t>
            </w:r>
          </w:p>
          <w:p>
            <w:pPr>
              <w:pStyle w:val="Heading3"/>
              <w:rPr/>
            </w:pPr>
            <w:r>
              <w:rPr/>
              <w:t>255 E. Temple Street</w:t>
            </w:r>
          </w:p>
          <w:p>
            <w:pPr>
              <w:pStyle w:val="Normal"/>
              <w:spacing w:lineRule="auto" w:line="240"/>
              <w:ind w:firstLine="1025" w:end="0"/>
              <w:rPr>
                <w:rFonts w:ascii="Courier New" w:hAnsi="Courier New" w:cs="Courier New"/>
                <w:sz w:val="24"/>
              </w:rPr>
            </w:pPr>
            <w:r>
              <w:rPr>
                <w:rFonts w:cs="Courier New" w:ascii="Courier New" w:hAnsi="Courier New"/>
                <w:sz w:val="24"/>
              </w:rPr>
              <w:t>Los Angeles, CA 90012</w:t>
            </w:r>
          </w:p>
        </w:tc>
      </w:tr>
    </w:tbl>
    <w:p>
      <w:pPr>
        <w:pStyle w:val="BodyText2"/>
        <w:rPr>
          <w:rFonts w:ascii="Courier New" w:hAnsi="Courier New" w:cs="Courier New"/>
        </w:rPr>
      </w:pPr>
      <w:r>
        <w:rPr>
          <w:rFonts w:cs="Courier New" w:ascii="Courier New" w:hAnsi="Courier New"/>
        </w:rPr>
      </w:r>
    </w:p>
    <w:p>
      <w:pPr>
        <w:pStyle w:val="BodyTextIndent"/>
        <w:jc w:val="both"/>
        <w:rPr/>
      </w:pPr>
      <w:r>
        <w:rPr/>
        <w:t>TO:</w:t>
        <w:tab/>
        <w:t>RESPONDENTS, CORAL POWER, L.L.C., and those entities set forth on Exhibit A hereto (the "Participants"):</w:t>
      </w:r>
    </w:p>
    <w:p>
      <w:pPr>
        <w:pStyle w:val="BodyText2"/>
        <w:jc w:val="both"/>
        <w:rPr/>
      </w:pPr>
      <w:r>
        <w:rPr/>
        <w:tab/>
      </w:r>
    </w:p>
    <w:p>
      <w:pPr>
        <w:pStyle w:val="BodyText2"/>
        <w:ind w:firstLine="720" w:end="0"/>
        <w:jc w:val="both"/>
        <w:rPr/>
      </w:pPr>
      <w:r>
        <w:rPr/>
        <w:t>PLEASE TAKE NOTICE that CALIFORNIA POWER EXCHANGE CORPORATION, a non-profit public benefit corporation, debtor and debtor in possession in this chapter 11 case ("CalPX"), hereby moves this Court for an entry of an order modifying the automatic stay arising in this case under section 362(a) of the Bankruptcy Code to permit:  (1) the continuation of certain proceedings before the Federal Energy Regulatory Commission ("FERC"); and (2) the continuation of and compliance with a preliminary injunction, and any extensions thereof, issued by the Honorable Carlos Moreno, United States District Judge, on March 5, 2001 (the "Preliminary Injunction"), a copy of which is annexed as Exhibit 7 to the Declaration of Lisa G. Urick, Esq.</w:t>
      </w:r>
    </w:p>
    <w:p>
      <w:pPr>
        <w:pStyle w:val="BodyTextIndent"/>
        <w:jc w:val="both"/>
        <w:rPr/>
      </w:pPr>
      <w:r>
        <w:rPr/>
        <w:t>PLEASE TAKE FURTHER NOTICE that this Motion will be heard before the Honorable Erithe A. Smith, United States Bankruptcy Judge, on the ____ day of __________, 2001, at the hour of ___ o'clock, __.m., in her Courtroom 1645, Roybal Federal Building, 255 Temple Street, Los Angeles, California 90012.</w:t>
      </w:r>
    </w:p>
    <w:p>
      <w:pPr>
        <w:pStyle w:val="BodyTextIndent"/>
        <w:jc w:val="both"/>
        <w:rPr/>
      </w:pPr>
      <w:r>
        <w:rPr/>
        <w:t>The Motion is based upon this Notice of Motion, the annexed Memorandum of Points and Authorities and Declaration of Lisa G. Urick, Esq., and such other and further evidence and argument as may be presented to the Court prior to or at the hearing.</w:t>
      </w:r>
    </w:p>
    <w:p>
      <w:pPr>
        <w:pStyle w:val="Normal"/>
        <w:ind w:firstLine="720" w:end="0"/>
        <w:jc w:val="both"/>
        <w:rPr/>
      </w:pPr>
      <w:r>
        <w:rPr>
          <w:rFonts w:cs="Courier New" w:ascii="Courier New" w:hAnsi="Courier New"/>
          <w:sz w:val="24"/>
        </w:rPr>
        <w:t xml:space="preserve">The Motion is made on the grounds that the resolution of controversies pertaining to the interpretation and application of certain provisions of the tariffs governing the affairs of the CalPX and the Participants, which tariffs were promulgated by FERC, are best and most efficiently accomplished by FERC in the context of proceedings presently pending before it, designated as </w:t>
      </w:r>
      <w:r>
        <w:rPr>
          <w:rFonts w:cs="Courier New" w:ascii="Courier New" w:hAnsi="Courier New"/>
          <w:sz w:val="24"/>
          <w:u w:val="single"/>
        </w:rPr>
        <w:t>Coral Power, L.L.C., et al, v California Power Exchange</w:t>
      </w:r>
      <w:r>
        <w:rPr>
          <w:rFonts w:cs="Courier New" w:ascii="Courier New" w:hAnsi="Courier New"/>
          <w:sz w:val="24"/>
        </w:rPr>
        <w:t xml:space="preserve">, Docket No. EL-01-36-000, </w:t>
      </w:r>
      <w:r>
        <w:rPr>
          <w:rFonts w:cs="Courier New" w:ascii="Courier New" w:hAnsi="Courier New"/>
          <w:sz w:val="24"/>
          <w:u w:val="single"/>
        </w:rPr>
        <w:t>Salt River Project Agricultural Improvement and Power District, et al. v. California Power Exchange Corp.</w:t>
      </w:r>
      <w:r>
        <w:rPr>
          <w:rFonts w:cs="Courier New" w:ascii="Courier New" w:hAnsi="Courier New"/>
          <w:sz w:val="24"/>
        </w:rPr>
        <w:t xml:space="preserve">, Docket No. EL-01-37-000, and </w:t>
      </w:r>
      <w:r>
        <w:rPr>
          <w:rFonts w:cs="Courier New" w:ascii="Courier New" w:hAnsi="Courier New"/>
          <w:sz w:val="24"/>
          <w:u w:val="single"/>
        </w:rPr>
        <w:t>Public Service Company of New Mexico v. California Power Exchange Corporation</w:t>
      </w:r>
      <w:r>
        <w:rPr>
          <w:rFonts w:cs="Courier New" w:ascii="Courier New" w:hAnsi="Courier New"/>
          <w:sz w:val="24"/>
        </w:rPr>
        <w:t>, Docket No. EL-01-43-000, and related proceedings, over which FERC has exclusive or, at a minimum, primary jurisdiction, and on the grounds that the Preliminary Injunction, which was issued to allow the determination by FERC of “default charge-back" issues under the CalPX tariffs, and any extensions thereof, should remain in full force and effect to protect and preserve the respective interests of the CalPX and the Participants until resolution of those issues.</w:t>
      </w:r>
    </w:p>
    <w:p>
      <w:pPr>
        <w:pStyle w:val="BodyTextIndent"/>
        <w:jc w:val="both"/>
        <w:rPr/>
      </w:pPr>
      <w:r>
        <w:rPr/>
        <w:t xml:space="preserve">This Motion is being heard on SHORTENED TIME.  If you wish to oppose the Motion, you must file your written response hereto and serve such response upon counsel for CalPX at the address indicated above at least ____ court days prior to the hearing. </w:t>
      </w:r>
    </w:p>
    <w:p>
      <w:pPr>
        <w:pStyle w:val="BodyTextIndent"/>
        <w:jc w:val="both"/>
        <w:rPr/>
      </w:pPr>
      <w:r>
        <w:rPr/>
        <w:t>If you fail to file a written response to this Motion, the Court may treat such failure as a waiver of your right to oppose the Motion and the relief requested hereby.</w:t>
      </w:r>
    </w:p>
    <w:p>
      <w:pPr>
        <w:pStyle w:val="Normal"/>
        <w:spacing w:lineRule="auto" w:line="240"/>
        <w:jc w:val="both"/>
        <w:rPr>
          <w:rFonts w:ascii="Courier New" w:hAnsi="Courier New" w:cs="Courier New"/>
          <w:sz w:val="24"/>
        </w:rPr>
      </w:pPr>
      <w:r>
        <w:rPr>
          <w:rFonts w:cs="Courier New" w:ascii="Courier New" w:hAnsi="Courier New"/>
          <w:sz w:val="24"/>
        </w:rPr>
        <w:t>DATED:  March __, 2001</w:t>
        <w:tab/>
        <w:tab/>
        <w:t xml:space="preserve">JEFFER, MANGELS, BUTLER &amp; </w:t>
      </w:r>
    </w:p>
    <w:p>
      <w:pPr>
        <w:pStyle w:val="Normal"/>
        <w:spacing w:lineRule="auto" w:line="240"/>
        <w:ind w:firstLine="720" w:start="3600" w:end="0"/>
        <w:jc w:val="both"/>
        <w:rPr>
          <w:rFonts w:ascii="Courier New" w:hAnsi="Courier New" w:cs="Courier New"/>
          <w:sz w:val="24"/>
        </w:rPr>
      </w:pPr>
      <w:r>
        <w:rPr>
          <w:rFonts w:cs="Courier New" w:ascii="Courier New" w:hAnsi="Courier New"/>
          <w:sz w:val="24"/>
        </w:rPr>
        <w:t>MARMARO LLP</w:t>
      </w:r>
    </w:p>
    <w:p>
      <w:pPr>
        <w:pStyle w:val="Normal"/>
        <w:spacing w:lineRule="auto" w:line="240"/>
        <w:jc w:val="both"/>
        <w:rPr>
          <w:rFonts w:ascii="Courier New" w:hAnsi="Courier New" w:cs="Courier New"/>
          <w:sz w:val="24"/>
        </w:rPr>
      </w:pPr>
      <w:r>
        <w:rPr>
          <w:rFonts w:cs="Courier New" w:ascii="Courier New" w:hAnsi="Courier New"/>
          <w:sz w:val="24"/>
        </w:rPr>
        <w:tab/>
        <w:tab/>
        <w:tab/>
        <w:tab/>
        <w:tab/>
        <w:tab/>
        <w:t>JOSEPH A. EISENBERG P.C.</w:t>
      </w:r>
    </w:p>
    <w:p>
      <w:pPr>
        <w:pStyle w:val="Normal"/>
        <w:spacing w:lineRule="auto" w:line="240"/>
        <w:jc w:val="both"/>
        <w:rPr>
          <w:rFonts w:ascii="Courier New" w:hAnsi="Courier New" w:cs="Courier New"/>
          <w:sz w:val="24"/>
        </w:rPr>
      </w:pPr>
      <w:r>
        <w:rPr>
          <w:rFonts w:cs="Courier New" w:ascii="Courier New" w:hAnsi="Courier New"/>
          <w:sz w:val="24"/>
        </w:rPr>
        <w:tab/>
        <w:tab/>
        <w:tab/>
        <w:tab/>
        <w:tab/>
        <w:tab/>
        <w:t>DAN P. SEDOR</w:t>
      </w:r>
    </w:p>
    <w:p>
      <w:pPr>
        <w:pStyle w:val="Normal"/>
        <w:spacing w:lineRule="auto" w:line="240"/>
        <w:jc w:val="both"/>
        <w:rPr>
          <w:rFonts w:ascii="Courier New" w:hAnsi="Courier New" w:cs="Courier New"/>
          <w:sz w:val="24"/>
        </w:rPr>
      </w:pPr>
      <w:r>
        <w:rPr>
          <w:rFonts w:cs="Courier New" w:ascii="Courier New" w:hAnsi="Courier New"/>
          <w:sz w:val="24"/>
        </w:rPr>
        <w:tab/>
        <w:tab/>
        <w:tab/>
        <w:tab/>
        <w:tab/>
        <w:tab/>
        <w:t>VICTORIA S. KAUFMAN</w:t>
      </w:r>
    </w:p>
    <w:p>
      <w:pPr>
        <w:pStyle w:val="Normal"/>
        <w:spacing w:lineRule="auto" w:line="240"/>
        <w:jc w:val="both"/>
        <w:rPr>
          <w:rFonts w:ascii="Courier New" w:hAnsi="Courier New" w:cs="Courier New"/>
          <w:sz w:val="24"/>
        </w:rPr>
      </w:pPr>
      <w:r>
        <w:rPr>
          <w:rFonts w:cs="Courier New" w:ascii="Courier New" w:hAnsi="Courier New"/>
          <w:sz w:val="24"/>
        </w:rPr>
      </w:r>
    </w:p>
    <w:p>
      <w:pPr>
        <w:pStyle w:val="Normal"/>
        <w:spacing w:lineRule="auto" w:line="240"/>
        <w:jc w:val="both"/>
        <w:rPr>
          <w:rFonts w:ascii="Courier New" w:hAnsi="Courier New" w:cs="Courier New"/>
          <w:sz w:val="24"/>
        </w:rPr>
      </w:pPr>
      <w:r>
        <w:rPr>
          <w:rFonts w:cs="Courier New" w:ascii="Courier New" w:hAnsi="Courier New"/>
          <w:sz w:val="24"/>
        </w:rPr>
        <w:tab/>
        <w:tab/>
        <w:tab/>
        <w:tab/>
        <w:tab/>
        <w:tab/>
        <w:t>By:_____________________________</w:t>
      </w:r>
    </w:p>
    <w:p>
      <w:pPr>
        <w:pStyle w:val="Normal"/>
        <w:spacing w:lineRule="auto" w:line="240"/>
        <w:ind w:firstLine="720" w:end="0"/>
        <w:jc w:val="both"/>
        <w:rPr>
          <w:rFonts w:ascii="Courier New" w:hAnsi="Courier New" w:cs="Courier New"/>
          <w:sz w:val="24"/>
        </w:rPr>
      </w:pPr>
      <w:r>
        <w:rPr>
          <w:rFonts w:cs="Courier New" w:ascii="Courier New" w:hAnsi="Courier New"/>
          <w:sz w:val="24"/>
        </w:rPr>
        <w:tab/>
        <w:tab/>
        <w:tab/>
        <w:tab/>
        <w:tab/>
        <w:tab/>
        <w:t>Joseph A. Eisenberg P.C.</w:t>
      </w:r>
    </w:p>
    <w:p>
      <w:pPr>
        <w:pStyle w:val="BodyTextIndent2"/>
        <w:ind w:firstLine="720" w:start="4320" w:end="0"/>
        <w:jc w:val="both"/>
        <w:rPr/>
      </w:pPr>
      <w:r>
        <w:rPr/>
        <w:t xml:space="preserve">Proposed Attorneys for Debtor </w:t>
      </w:r>
    </w:p>
    <w:p>
      <w:pPr>
        <w:pStyle w:val="BodyTextIndent2"/>
        <w:ind w:firstLine="720" w:start="4320" w:end="0"/>
        <w:jc w:val="both"/>
        <w:rPr/>
      </w:pPr>
      <w:r>
        <w:rPr/>
        <w:t>and Debtor-in-Possession</w:t>
      </w:r>
      <w:r>
        <w:br w:type="page"/>
      </w:r>
    </w:p>
    <w:p>
      <w:pPr>
        <w:pStyle w:val="BodyTextIndent2"/>
        <w:ind w:firstLine="720" w:start="4320" w:end="0"/>
        <w:jc w:val="both"/>
        <w:rPr/>
      </w:pPr>
      <w:r>
        <w:rPr/>
      </w:r>
    </w:p>
    <w:p>
      <w:pPr>
        <w:pStyle w:val="Heading2"/>
        <w:spacing w:lineRule="exact" w:line="480"/>
        <w:ind w:hanging="0" w:start="0"/>
        <w:rPr>
          <w:rFonts w:ascii="Courier New" w:hAnsi="Courier New" w:cs="Courier New"/>
          <w:b/>
          <w:bCs/>
          <w:u w:val="single"/>
        </w:rPr>
      </w:pPr>
      <w:r>
        <w:rPr>
          <w:rFonts w:cs="Courier New" w:ascii="Courier New" w:hAnsi="Courier New"/>
          <w:b/>
          <w:bCs/>
          <w:u w:val="single"/>
        </w:rPr>
        <w:t>MEMORANDUM OF POINTS AND AUTHORITIES</w:t>
      </w:r>
    </w:p>
    <w:p>
      <w:pPr>
        <w:pStyle w:val="Normal"/>
        <w:jc w:val="center"/>
        <w:rPr>
          <w:rFonts w:ascii="Courier New" w:hAnsi="Courier New" w:cs="Courier New"/>
          <w:b/>
          <w:bCs/>
          <w:sz w:val="24"/>
        </w:rPr>
      </w:pPr>
      <w:r>
        <w:rPr>
          <w:rFonts w:cs="Courier New" w:ascii="Courier New" w:hAnsi="Courier New"/>
          <w:b/>
          <w:bCs/>
          <w:sz w:val="24"/>
        </w:rPr>
        <w:t>I.</w:t>
      </w:r>
    </w:p>
    <w:p>
      <w:pPr>
        <w:pStyle w:val="Heading2"/>
        <w:spacing w:lineRule="exact" w:line="480"/>
        <w:ind w:hanging="0" w:start="0"/>
        <w:rPr>
          <w:rFonts w:ascii="Courier New" w:hAnsi="Courier New" w:cs="Courier New"/>
        </w:rPr>
      </w:pPr>
      <w:r>
        <w:rPr>
          <w:rFonts w:cs="Courier New" w:ascii="Courier New" w:hAnsi="Courier New"/>
          <w:b/>
          <w:bCs/>
        </w:rPr>
        <w:t>INTRODUCTION AND SUMMARY OF ARGUMENT</w:t>
      </w:r>
    </w:p>
    <w:p>
      <w:pPr>
        <w:pStyle w:val="BodyTextIndent"/>
        <w:jc w:val="both"/>
        <w:rPr/>
      </w:pPr>
      <w:r>
        <w:rPr/>
        <w:t>Debtor and debtor in possession California Power Exchange Corporation ("CalPX") is a California nonprofit public benefit corporation formed to operate and administer markets for the purchase and sale of wholesale electricity.  The wholesale electricity markets of California and the Western States are now in turmoil.  Massive defaults by electricity purchasers Southern California Edison ("SCE") and Pacific Gas &amp; Electric ("PG&amp;E"), and others in the CalPX markets, and ensuing efforts by the CalPX to allocate the impact of those defaults among its market participants pursuant to “default charge-back" provisions of the Federal Energy Regulatory Commission ("FERC") tariffs that govern the CalPX's markets spawned proceedings before FERC and a series of federal court lawsuits, assigned to the Honorable Carlos Moreno in the United States District Court for the Central District of California.</w:t>
      </w:r>
    </w:p>
    <w:p>
      <w:pPr>
        <w:pStyle w:val="BodyTextIndent"/>
        <w:jc w:val="both"/>
        <w:rPr/>
      </w:pPr>
      <w:r>
        <w:rPr/>
        <w:t>Prior to the filing of the CalPX's chapter 11 petition, Judge Moreno entered the Preliminary Injunction preserving the status quo between the parties and staying the federal cases pending FERC's resolution of the default charge-back issues.  The gravity of the issues before FERC means that an early and efficient resolution of them is crucial.</w:t>
      </w:r>
    </w:p>
    <w:p>
      <w:pPr>
        <w:pStyle w:val="BodyTextIndent"/>
        <w:jc w:val="both"/>
        <w:rPr/>
      </w:pPr>
      <w:r>
        <w:rPr/>
        <w:t>The purpose of this motion to modify the automatic stay is to keep the issues now before FERC on track for an expedient resolution by FERC, and to help facilitate that goal by allowing Judge Moreno's Preliminary Injunction (and any extension thereof) to remain in effect notwithstanding the pendency of this chapter 11 case.  The issues before FERC lie within its exclusive jurisdiction or at the very least within its primary jurisdiction.  Moreover, FERC clearly is the most efficient and appropriate forum for the resolution of those issues and allowing it to adjudicate them will serve this Court's judicial economy.  Ample cause exists for the relief sought by the CalPX.</w:t>
      </w:r>
    </w:p>
    <w:p>
      <w:pPr>
        <w:pStyle w:val="Normal"/>
        <w:jc w:val="both"/>
        <w:rPr>
          <w:rFonts w:ascii="Courier New" w:hAnsi="Courier New" w:cs="Courier New"/>
          <w:sz w:val="24"/>
        </w:rPr>
      </w:pPr>
      <w:r>
        <w:rPr>
          <w:rFonts w:cs="Courier New" w:ascii="Courier New" w:hAnsi="Courier New"/>
          <w:sz w:val="24"/>
        </w:rPr>
      </w:r>
    </w:p>
    <w:p>
      <w:pPr>
        <w:pStyle w:val="Normal"/>
        <w:jc w:val="center"/>
        <w:rPr>
          <w:rFonts w:ascii="Courier New" w:hAnsi="Courier New" w:cs="Courier New"/>
          <w:b/>
          <w:bCs/>
          <w:sz w:val="24"/>
        </w:rPr>
      </w:pPr>
      <w:r>
        <w:rPr>
          <w:rFonts w:cs="Courier New" w:ascii="Courier New" w:hAnsi="Courier New"/>
          <w:b/>
          <w:bCs/>
          <w:sz w:val="24"/>
        </w:rPr>
        <w:t>II.</w:t>
      </w:r>
    </w:p>
    <w:p>
      <w:pPr>
        <w:pStyle w:val="Heading5"/>
        <w:ind w:hanging="0" w:start="0"/>
        <w:rPr/>
      </w:pPr>
      <w:r>
        <w:rPr/>
        <w:t>THE FACTUAL AND PROCEDURAL BACKGROUND</w:t>
      </w:r>
    </w:p>
    <w:p>
      <w:pPr>
        <w:pStyle w:val="BodyTextIndent"/>
        <w:jc w:val="both"/>
        <w:rPr/>
      </w:pPr>
      <w:r>
        <w:rPr/>
        <w:t>The CalPX is the debtor and debtor in possession in this chapter 11 case which was commenced by the filing of a voluntary petition on March 9, 2001 (the "Petition Date").</w:t>
      </w:r>
    </w:p>
    <w:p>
      <w:pPr>
        <w:pStyle w:val="BodyTextIndent"/>
        <w:jc w:val="both"/>
        <w:rPr/>
      </w:pPr>
      <w:r>
        <w:rPr/>
        <w:t>The CalPX was created by the State as an integral component of California’s restructuring of the electricity industry. Pursuant to California Assembly Bill ("AB") 1890, signed into law by Governor Wilson on September 23, 1996, and as codified in various sections of the California Public Utilities Code, the CalPX was established to meet the needs of wholesale buyers and sellers of electricity.  The CalPX began operations on March 31, 1998, to provide and maintain an efficient, competitive auction for the trading of wholesale electricity within the State of California.  The CalPX offered a transparent market that was open on a non-discriminatory basis to purchasers and suppliers of wholesale electricity.  Under the new market structure, the three large investor-owned utilities ("IOUs"), San Diego Gas &amp; Electric Company ("SDG&amp;E"), SCE and PG&amp;E, were required to sell their generation output and buy their electricity needs through the CalPX for a four-year transition period.  The CalPX is regulated by FERC and operates pursuant to tariffs that are on file with and approved by FERC.</w:t>
      </w:r>
    </w:p>
    <w:p>
      <w:pPr>
        <w:pStyle w:val="BodyTextIndent"/>
        <w:jc w:val="both"/>
        <w:rPr/>
      </w:pPr>
      <w:r>
        <w:rPr/>
        <w:t>Prior to the Petition Date, the operation of the CalPX involved three principal functions, described in more detail below, affecting the procurement and delivery of approximately eighty-five to ninety percent of the electricity delivered to the control area of the California Independent System Operator ("ISO"):  Operation and administration of the CalPX's electricity markets; the scheduling of wholesale electricity delivery pursuant to the trading on those markets; and the settlement and clearing of the trades.</w:t>
      </w:r>
    </w:p>
    <w:p>
      <w:pPr>
        <w:pStyle w:val="Normal"/>
        <w:ind w:firstLine="720" w:end="0"/>
        <w:jc w:val="both"/>
        <w:rPr/>
      </w:pPr>
      <w:r>
        <w:rPr>
          <w:rFonts w:cs="Courier New" w:ascii="Courier New" w:hAnsi="Courier New"/>
          <w:sz w:val="24"/>
          <w:u w:val="single"/>
        </w:rPr>
        <w:t>The Markets</w:t>
      </w:r>
      <w:r>
        <w:rPr>
          <w:rFonts w:cs="Courier New" w:ascii="Courier New" w:hAnsi="Courier New"/>
          <w:sz w:val="24"/>
        </w:rPr>
        <w:t xml:space="preserve">.  The CalPX operated and administered several markets for the purchase and sale of wholesale electricity by approximately seventy participants (the "Participants").  The Core Market was comprised of two major trading operations: (i) the Day-Ahead Market, which established hourly, market-clearing prices that matched suppliers and purchasers of electricity for the following day and (ii) the Day-Of Market, which operated to implement a balance of the supply of and demand for wholesale electricity on the same day.  As part of its Core Market operations, the CalPX also acted as Scheduling Coordinator for some of its Participants in the ISO real-time market and continues to perform settlement and clearing functions for those transactions.  The CalPX Trading Services ("CTS") Market was established to enable the Participants to hedge the potential volatility of the spot market by locking in the prices for future delivery of wholesale electrical power through the purchase and sale of “block forward" contracts, </w:t>
      </w:r>
      <w:r>
        <w:rPr>
          <w:rFonts w:cs="Courier New" w:ascii="Courier New" w:hAnsi="Courier New"/>
          <w:i/>
          <w:iCs/>
          <w:sz w:val="24"/>
        </w:rPr>
        <w:t>i.e</w:t>
      </w:r>
      <w:r>
        <w:rPr>
          <w:rFonts w:cs="Courier New" w:ascii="Courier New" w:hAnsi="Courier New"/>
          <w:sz w:val="24"/>
        </w:rPr>
        <w:t>., contracts for the delivery of energy in future months at prices established in the CTS Market.</w:t>
      </w:r>
    </w:p>
    <w:p>
      <w:pPr>
        <w:pStyle w:val="Normal"/>
        <w:ind w:firstLine="720" w:end="0"/>
        <w:jc w:val="both"/>
        <w:rPr/>
      </w:pPr>
      <w:r>
        <w:rPr>
          <w:rFonts w:cs="Courier New" w:ascii="Courier New" w:hAnsi="Courier New"/>
          <w:sz w:val="24"/>
          <w:u w:val="single"/>
        </w:rPr>
        <w:t>The Scheduling of Deliveries</w:t>
      </w:r>
      <w:r>
        <w:rPr>
          <w:rFonts w:cs="Courier New" w:ascii="Courier New" w:hAnsi="Courier New"/>
          <w:sz w:val="24"/>
        </w:rPr>
        <w:t>.  The actual delivery of wholesale electricity within the State of California is implemented through the ISO, which was also created pursuant to AB 1890.  The ISO operates the transmission systems owned by the three IOUs.  The CalPX scheduled with the ISO the delivery of wholesale electricity in accordance with the arrangements established in the Day-Ahead and Day-of Markets.</w:t>
      </w:r>
    </w:p>
    <w:p>
      <w:pPr>
        <w:pStyle w:val="Normal"/>
        <w:ind w:firstLine="720" w:end="0"/>
        <w:jc w:val="both"/>
        <w:rPr/>
      </w:pPr>
      <w:r>
        <w:rPr>
          <w:rFonts w:cs="Courier New" w:ascii="Courier New" w:hAnsi="Courier New"/>
          <w:sz w:val="24"/>
          <w:u w:val="single"/>
        </w:rPr>
        <w:t>The Settlement and Clearing Functions</w:t>
      </w:r>
      <w:r>
        <w:rPr>
          <w:rFonts w:cs="Courier New" w:ascii="Courier New" w:hAnsi="Courier New"/>
          <w:sz w:val="24"/>
        </w:rPr>
        <w:t>.  The CalPX settlement function provided reconciliation of all data among the Participants as to trading and scheduling activities.  In the case of the real-time transactions, this function included reconciliation of amounts due to and from CalPX Participants and the ISO.  The final output of this function is an invoice stating for each CalPX Participant the amount due to or due from the CalPX and the amount owed to the ISO by the CalPX for real-time activities.  The CalPX clearing function included collection and payment of the cash due to and from the Participants or the ISO as stated on the invoices.  This function also is responsible for credit monitoring and management of collateral pledged by Participants and held by the CalPX.</w:t>
      </w:r>
    </w:p>
    <w:p>
      <w:pPr>
        <w:pStyle w:val="BodyTextIndent"/>
        <w:jc w:val="both"/>
        <w:rPr/>
      </w:pPr>
      <w:r>
        <w:rPr/>
        <w:t>Due to a variety of extraordinary market conditions in combination with other factors, including regulatory changes, prices in California and Western wholesale electricity markets increased dramatically beginning in May and June, 2000.  Under the framework of AB 1890 and the “rate freeze" in effect pursuant to that legislation, SCE and PG&amp;E were unable to pass along the actual increased electricity costs to their retail customers.</w:t>
      </w:r>
    </w:p>
    <w:p>
      <w:pPr>
        <w:pStyle w:val="Normal"/>
        <w:ind w:firstLine="720" w:end="0"/>
        <w:jc w:val="both"/>
        <w:rPr/>
      </w:pPr>
      <w:r>
        <w:rPr>
          <w:rFonts w:cs="Courier New" w:ascii="Courier New" w:hAnsi="Courier New"/>
          <w:sz w:val="24"/>
        </w:rPr>
        <w:t>Beginning in January 2001, SCE and PG&amp;E, which are two of the most significant purchasers of wholesale electricity within the State of California, defaulted on obligations for electricity purchased through the various markets settled and cleared by the CalPX.  These defaults, in addition to other regulatory and market conditions and operational circumstances, caused the CalPX to suspend its Day-Ahead and Day-Of Markets as of January 31, 2001.</w:t>
      </w:r>
      <w:r>
        <w:rPr>
          <w:rStyle w:val="FootnoteCharacters"/>
          <w:rStyle w:val="FootnoteReference"/>
          <w:rFonts w:cs="Courier New" w:ascii="Courier New" w:hAnsi="Courier New"/>
          <w:sz w:val="24"/>
        </w:rPr>
        <w:footnoteReference w:id="2"/>
      </w:r>
      <w:r>
        <w:rPr>
          <w:rFonts w:cs="Courier New" w:ascii="Courier New" w:hAnsi="Courier New"/>
          <w:sz w:val="24"/>
        </w:rPr>
        <w:t xml:space="preserve"> </w:t>
      </w:r>
    </w:p>
    <w:p>
      <w:pPr>
        <w:pStyle w:val="BodyTextIndent"/>
        <w:jc w:val="both"/>
        <w:rPr/>
      </w:pPr>
      <w:r>
        <w:rPr/>
        <w:t>In response to the SCE and PG&amp;E and other defaults, the CalPX among other things implemented the default charge-back provisions of its FERC tariffs, in an effort to allocate the defaults to all of the Participants in proportion to their recent trading activity, as called for by the tariffs.  The CalPX's implementation of default charge-back procedures resulted in a multitude of legal proceedings.  On January 31, 2001, Enron Power Marketing, Inc. ("Enron"), one of the Participants, filed a federal court action, assigned to the Honorable Carlos Moreno of the United States District Court for the Central District of California, challenging, among other issues, the CalPX's implementation of the default charge-back procedures.  Urick Decl. Exh. 1.  Other Participants, including Avista Energy, Inc. ("Avista"), PacifiCorp, SDG&amp;E, and Sempra Energy Trading Corp. ("Sempra"), filed their own default charge-back challenges, all of which were assigned to Judge Moreno.  Urick Decl. ¶ 2.</w:t>
      </w:r>
    </w:p>
    <w:p>
      <w:pPr>
        <w:pStyle w:val="BodyTextIndent"/>
        <w:jc w:val="both"/>
        <w:rPr/>
      </w:pPr>
      <w:r>
        <w:rPr/>
        <w:t>The default charge-back issue has also been raised in parallel proceedings before FERC.  On February 8, 2001, Participants Coral Power, L.L.C., Enron, Arizona Public Service Co., CarGill-Alliant, LLC, SDG&amp;E, Avista, Sempra, PacifiCorp and Constellation Power Source filed a complaint with FERC challenging the implementation of the default charge-back procedures and requesting fast track processing of the matter (the "Coral Power Default Charge-Back Proceeding").  Urick Decl. Exh. 2.  Another default charge-back challenge was filed with FERC by Participants Salt River Project Agricultural Improvement and Power District and Sacramento Municipal Utility District on February 12, 2001 (the "Salt River Default Charge-Back Proceeding").  Urick Decl. Exh. 3.  A third default charge-back challenge was filed by the Public Service Company of New Mexico on March 2, 2001 (the "PSCNM Default Charge-Back Proceeding").  Urick Decl. Exh. 4.  (The Coral Power, Salt River and PSCNM Default Charge-Back Proceedings are referred to collectively herein as the "Default Charge-Back Proceedings".)</w:t>
      </w:r>
    </w:p>
    <w:p>
      <w:pPr>
        <w:pStyle w:val="Normal"/>
        <w:ind w:firstLine="720" w:end="0"/>
        <w:jc w:val="both"/>
        <w:rPr/>
      </w:pPr>
      <w:r>
        <w:rPr>
          <w:rFonts w:cs="Courier New" w:ascii="Courier New" w:hAnsi="Courier New"/>
          <w:sz w:val="24"/>
        </w:rPr>
        <w:t xml:space="preserve">The CalPX disputed the material allegations of the Participants' complaints in the two matters it has appeared in thus far, </w:t>
      </w:r>
      <w:r>
        <w:rPr>
          <w:rFonts w:cs="Courier New" w:ascii="Courier New" w:hAnsi="Courier New"/>
          <w:i/>
          <w:iCs/>
          <w:sz w:val="24"/>
        </w:rPr>
        <w:t>i.e</w:t>
      </w:r>
      <w:r>
        <w:rPr>
          <w:rFonts w:cs="Courier New" w:ascii="Courier New" w:hAnsi="Courier New"/>
          <w:sz w:val="24"/>
        </w:rPr>
        <w:t>., the Coral Power and Salt River Default Charge-Back Proceedings, but agreed with the Participants that FERC should resolve the matters as expeditiously as possible.  Urick Decl. Exhs. 5, 6.</w:t>
      </w:r>
      <w:r>
        <w:rPr>
          <w:rStyle w:val="FootnoteCharacters"/>
          <w:rStyle w:val="FootnoteReference"/>
          <w:rFonts w:cs="Courier New" w:ascii="Courier New" w:hAnsi="Courier New"/>
          <w:sz w:val="24"/>
        </w:rPr>
        <w:footnoteReference w:id="3"/>
      </w:r>
      <w:r>
        <w:rPr>
          <w:rFonts w:cs="Courier New" w:ascii="Courier New" w:hAnsi="Courier New"/>
          <w:sz w:val="24"/>
        </w:rPr>
        <w:t xml:space="preserve">   Specific issues being addressed by FERC in all three proceedings relate to the interpretation and application of tariff provisions governing not only the default charge-back procedures, but also the tariff provisions regulating credit requirements, defaults, and termination of market participation, among other things.  The Default Charge-Back Proceedings remained pending before FERC as of the Petition Date.</w:t>
      </w:r>
    </w:p>
    <w:p>
      <w:pPr>
        <w:pStyle w:val="BodyTextIndent"/>
        <w:jc w:val="both"/>
        <w:rPr/>
      </w:pPr>
      <w:r>
        <w:rPr/>
        <w:t xml:space="preserve">On March 5, 2001, Judge Moreno issued the Preliminary Injunction that, among other things, stayed all federal cases related to the charge-back cases before him, including future actions, and halted any charge-backs by the CalPX pending FERC's resolution of the charge-back challenges.  Urick Decl. Exh. 7. </w:t>
      </w:r>
    </w:p>
    <w:p>
      <w:pPr>
        <w:pStyle w:val="BodyTextIndent"/>
        <w:jc w:val="both"/>
        <w:rPr/>
      </w:pPr>
      <w:r>
        <w:rPr/>
        <w:t>It goes virtually without saying that the resolution of the issues now before FERC will be an important step towards eliminating the turmoil in California's energy markets.  As set forth below, allowing FERC to adjudicate these issues is the proper and most expeditious and efficient way to achieve that resolution.  Accordingly, cause exists to modify the automatic stay to allow FERC proceedings to move forward and to give effect to Judge Moreno's injunction.</w:t>
      </w:r>
    </w:p>
    <w:p>
      <w:pPr>
        <w:pStyle w:val="BodyTextIndent"/>
        <w:jc w:val="both"/>
        <w:rPr/>
      </w:pPr>
      <w:r>
        <w:rPr/>
      </w:r>
    </w:p>
    <w:p>
      <w:pPr>
        <w:pStyle w:val="Normal"/>
        <w:jc w:val="center"/>
        <w:rPr>
          <w:rFonts w:ascii="Courier New" w:hAnsi="Courier New" w:cs="Courier New"/>
          <w:b/>
          <w:bCs/>
          <w:sz w:val="24"/>
        </w:rPr>
      </w:pPr>
      <w:r>
        <w:rPr>
          <w:rFonts w:cs="Courier New" w:ascii="Courier New" w:hAnsi="Courier New"/>
          <w:b/>
          <w:bCs/>
          <w:sz w:val="24"/>
        </w:rPr>
        <w:t>III.</w:t>
      </w:r>
    </w:p>
    <w:p>
      <w:pPr>
        <w:pStyle w:val="Normal"/>
        <w:jc w:val="center"/>
        <w:rPr>
          <w:rFonts w:ascii="Courier New" w:hAnsi="Courier New" w:cs="Courier New"/>
          <w:b/>
          <w:bCs/>
          <w:sz w:val="24"/>
        </w:rPr>
      </w:pPr>
      <w:r>
        <w:rPr>
          <w:rFonts w:cs="Courier New" w:ascii="Courier New" w:hAnsi="Courier New"/>
          <w:b/>
          <w:bCs/>
          <w:sz w:val="24"/>
        </w:rPr>
        <w:t>CAUSE EXISTS FOR GRANTING RELIEF FROM THE AUTOMATIC STAY</w:t>
      </w:r>
    </w:p>
    <w:p>
      <w:pPr>
        <w:pStyle w:val="BodyText2"/>
        <w:ind w:firstLine="720" w:end="0"/>
        <w:jc w:val="both"/>
        <w:rPr>
          <w:rFonts w:ascii="Courier New" w:hAnsi="Courier New" w:cs="Courier New"/>
        </w:rPr>
      </w:pPr>
      <w:r>
        <w:rPr>
          <w:rFonts w:cs="Courier New" w:ascii="Courier New" w:hAnsi="Courier New"/>
        </w:rPr>
        <w:t>Section 362(d)(1) of the Bankruptcy Code provides, in pertinent part:</w:t>
      </w:r>
    </w:p>
    <w:p>
      <w:pPr>
        <w:pStyle w:val="BlockText"/>
        <w:spacing w:lineRule="auto" w:line="480"/>
        <w:jc w:val="both"/>
        <w:rPr/>
      </w:pPr>
      <w:r>
        <w:rPr/>
        <w:t>On request of a party in interest and after notice and a hearing, the court shall grant relief from the stay provided under subsection (a) of this section, such as by terminating, annulling, modifying, or conditioning such stay --</w:t>
      </w:r>
    </w:p>
    <w:p>
      <w:pPr>
        <w:pStyle w:val="Normal"/>
        <w:spacing w:lineRule="auto" w:line="480"/>
        <w:ind w:firstLine="2074" w:end="0"/>
        <w:jc w:val="both"/>
        <w:rPr>
          <w:rFonts w:ascii="Courier New" w:hAnsi="Courier New" w:cs="Courier New"/>
          <w:sz w:val="24"/>
        </w:rPr>
      </w:pPr>
      <w:r>
        <w:rPr>
          <w:rFonts w:cs="Courier New" w:ascii="Courier New" w:hAnsi="Courier New"/>
          <w:sz w:val="24"/>
        </w:rPr>
        <w:t>(1)</w:t>
        <w:tab/>
        <w:t>for cause . . .</w:t>
      </w:r>
    </w:p>
    <w:p>
      <w:pPr>
        <w:pStyle w:val="Normal"/>
        <w:jc w:val="both"/>
        <w:rPr>
          <w:rFonts w:ascii="Courier New" w:hAnsi="Courier New" w:cs="Courier New"/>
          <w:sz w:val="24"/>
        </w:rPr>
      </w:pPr>
      <w:r>
        <w:rPr>
          <w:rFonts w:cs="Courier New" w:ascii="Courier New" w:hAnsi="Courier New"/>
          <w:sz w:val="24"/>
        </w:rPr>
        <w:t>11 U.S.C. § 362(d)(1).  Here, cause exists for granting the CalPX relief from the automatic stay as FERC has exclusive or at the very least primary jurisdiction over the issues pending before it and judicial economy will be served if those matters are adjudicated by FERC instead of this Court.  Accordingly, relief from the automatic stay should be granted.</w:t>
      </w:r>
    </w:p>
    <w:p>
      <w:pPr>
        <w:pStyle w:val="BodyTextIndent3"/>
        <w:jc w:val="both"/>
        <w:rPr/>
      </w:pPr>
      <w:r>
        <w:rPr/>
        <w:t>A.</w:t>
        <w:tab/>
        <w:t>FERC Has Exclusive Or At The Very Least Primary Jurisdiction Over The Matters In Dispute.</w:t>
      </w:r>
    </w:p>
    <w:p>
      <w:pPr>
        <w:pStyle w:val="BodyTextIndent"/>
        <w:jc w:val="both"/>
        <w:rPr/>
      </w:pPr>
      <w:r>
        <w:rPr/>
        <w:t xml:space="preserve">Pursuant to Part II of the Federal Power Act, 16 U.S.C. Sections 824 </w:t>
      </w:r>
      <w:r>
        <w:rPr>
          <w:u w:val="single"/>
        </w:rPr>
        <w:t>et</w:t>
      </w:r>
      <w:r>
        <w:rPr/>
        <w:t xml:space="preserve"> </w:t>
      </w:r>
      <w:r>
        <w:rPr>
          <w:u w:val="single"/>
        </w:rPr>
        <w:t>seq.</w:t>
      </w:r>
      <w:r>
        <w:rPr/>
        <w:t>, FERC has exclusive jurisdiction to determine the reasonableness of the rates, terms and conditions of service of public utilities within its regulatory jurisdiction, including the CalPX.  The Default Charge-Back Proceedings not only require but expressly seek determinations of the reasonableness of the rates, terms and conditions of the CalPX tariffs.  Such determinations are within the exclusive provisions of FERC.</w:t>
      </w:r>
    </w:p>
    <w:p>
      <w:pPr>
        <w:pStyle w:val="BodyTextIndent"/>
        <w:jc w:val="both"/>
        <w:rPr/>
      </w:pPr>
      <w:r>
        <w:rPr/>
        <w:t>Even if the Court determines that FERC does not have exclusive jurisdiction or declines to reach the issue, the matters before FERC are still clearly within its primary jurisdiction.  Those matters require the application of FERC's expert judgment and the determination of critical policy issues to harmonize the outcomes of this case with FERC's ongoing prescription of remedies for the California wholesale electricity market.</w:t>
      </w:r>
    </w:p>
    <w:p>
      <w:pPr>
        <w:pStyle w:val="Normal"/>
        <w:ind w:hanging="720" w:start="2160" w:end="0"/>
        <w:jc w:val="both"/>
        <w:rPr/>
      </w:pPr>
      <w:r>
        <w:rPr>
          <w:rFonts w:cs="Courier New" w:ascii="Courier New" w:hAnsi="Courier New"/>
          <w:b/>
          <w:bCs/>
          <w:sz w:val="24"/>
        </w:rPr>
        <w:t>1.</w:t>
        <w:tab/>
        <w:t>The Charge-Back Challenges Seek And Require Determinations Of Reasonableness Under The CalPX Tariffs</w:t>
      </w:r>
      <w:r>
        <w:rPr>
          <w:rFonts w:cs="Courier New" w:ascii="Courier New" w:hAnsi="Courier New"/>
          <w:sz w:val="24"/>
        </w:rPr>
        <w:t>.</w:t>
      </w:r>
    </w:p>
    <w:p>
      <w:pPr>
        <w:pStyle w:val="BodyText2"/>
        <w:ind w:firstLine="630" w:end="0"/>
        <w:jc w:val="both"/>
        <w:rPr>
          <w:rFonts w:ascii="Courier New" w:hAnsi="Courier New" w:cs="Courier New"/>
        </w:rPr>
      </w:pPr>
      <w:r>
        <w:rPr>
          <w:rFonts w:cs="Courier New" w:ascii="Courier New" w:hAnsi="Courier New"/>
        </w:rPr>
        <w:t>The determination of the “justness and reasonableness" of the rates, terms and conditions of services rendered by a FERC-jurisdictional public utility is a matter exclusively within the jurisdiction of FERC.  A quick overview of the Default Charge-Back Proceedings readily shows that these rate-setting determinations are not only an integral part of the relief requested but constitute the essential gravamen of the complaints in those proceedings themselves.</w:t>
      </w:r>
    </w:p>
    <w:p>
      <w:pPr>
        <w:pStyle w:val="Normal"/>
        <w:ind w:firstLine="720" w:end="0"/>
        <w:jc w:val="both"/>
        <w:rPr>
          <w:rFonts w:ascii="Courier New" w:hAnsi="Courier New" w:cs="Courier New"/>
          <w:sz w:val="24"/>
        </w:rPr>
      </w:pPr>
      <w:r>
        <w:rPr>
          <w:rFonts w:cs="Courier New" w:ascii="Courier New" w:hAnsi="Courier New"/>
          <w:sz w:val="24"/>
        </w:rPr>
        <w:t xml:space="preserve">For example, Count 1 of the Complaint in the Coral Power Default Charge-Back Proceeding asks for a determination that CalPX's current enforcement of the default charge-back provision is “unjust and unreasonable."  Urick Decl. Exh. 2, ¶¶ 14-24.  Count 2 requests a determination of the scope of charge-backs that are authorized under the CalPX tariff.  Urick Decl. Exh. 2,  ¶¶ 25-32.  Count 3 seeks a determination that CalPX's enforcement of the default charge-back provisions of its tariff with regard to pass-through charges from the ISO is “unjust and unreasonable."  Urick Decl. Exh. 2, ¶¶ 33-36.  </w:t>
      </w:r>
    </w:p>
    <w:p>
      <w:pPr>
        <w:pStyle w:val="Normal"/>
        <w:ind w:firstLine="720" w:end="0"/>
        <w:jc w:val="both"/>
        <w:rPr/>
      </w:pPr>
      <w:r>
        <w:rPr>
          <w:rFonts w:cs="Courier New" w:ascii="Courier New" w:hAnsi="Courier New"/>
          <w:sz w:val="24"/>
        </w:rPr>
        <w:t xml:space="preserve">The allegations of the complaint in the Salt River Default Charge-Back Proceeding are similar.  </w:t>
      </w:r>
      <w:r>
        <w:rPr>
          <w:rFonts w:cs="Courier New" w:ascii="Courier New" w:hAnsi="Courier New"/>
          <w:sz w:val="24"/>
          <w:u w:val="single"/>
        </w:rPr>
        <w:t>See</w:t>
      </w:r>
      <w:r>
        <w:rPr>
          <w:rFonts w:cs="Courier New" w:ascii="Courier New" w:hAnsi="Courier New"/>
          <w:sz w:val="24"/>
        </w:rPr>
        <w:t xml:space="preserve"> Urick Decl. Exh. 3 at 2 (“the charge back provisions contained in the [Cal]PX tariff were never designed for use in circumstances such as those currently facing the California markets, and use of the provisions in these circumstances is entirely unjust and unreasonable"); Urick Decl. Exh. 3 at 9-10 (“Application of the charge back mechanism without this crucial mitigation measure is unjust and unreasonable and must be precluded by the Commission . . .[</w:t>
      </w:r>
      <w:r>
        <w:rPr>
          <w:rFonts w:cs="Arial" w:ascii="Arial" w:hAnsi="Arial"/>
          <w:sz w:val="24"/>
        </w:rPr>
        <w:t>¶</w:t>
      </w:r>
      <w:r>
        <w:rPr>
          <w:rFonts w:cs="Courier New" w:ascii="Courier New" w:hAnsi="Courier New"/>
          <w:sz w:val="24"/>
        </w:rPr>
        <w:t>] [application of] the charge-back provisions contained in the [Cal]PX tariff to collect defaulted payments to the ISO is on its face unjust and unreasonable").</w:t>
      </w:r>
    </w:p>
    <w:p>
      <w:pPr>
        <w:pStyle w:val="Normal"/>
        <w:ind w:firstLine="720" w:end="0"/>
        <w:jc w:val="both"/>
        <w:rPr>
          <w:rFonts w:ascii="Courier New" w:hAnsi="Courier New" w:cs="Courier New"/>
          <w:sz w:val="24"/>
        </w:rPr>
      </w:pPr>
      <w:r>
        <w:rPr>
          <w:rFonts w:cs="Courier New" w:ascii="Courier New" w:hAnsi="Courier New"/>
          <w:sz w:val="24"/>
        </w:rPr>
        <w:t>Likewise, the allegations of the complaint in the PSCNM Default Charge-Back Proceeding denominate the CalPX’s enforcement of the default charge-back procedure as “unjust and unreasonable."  Urick Decl. Exh. 4 at 3, 10, 14-15.</w:t>
      </w:r>
    </w:p>
    <w:p>
      <w:pPr>
        <w:pStyle w:val="Normal"/>
        <w:jc w:val="both"/>
        <w:rPr/>
      </w:pPr>
      <w:r>
        <w:rPr>
          <w:rFonts w:cs="Courier New" w:ascii="Courier New" w:hAnsi="Courier New"/>
          <w:sz w:val="24"/>
        </w:rPr>
        <w:tab/>
        <w:t xml:space="preserve">The Participants in the Coral Power Default Charge-Back Proceeding request a stay so that “a just and reasonable resolution can be implemented."  Urick Decl. Exh. 2, ¶ 45.  They also (accurately) state that "CalPX's wind down is intimately tied to the provisions of the CalPX Tariff, which the Commission initially approved and, in recent orders, radically altered."  They ask FERC to determine that the CalPX's current enforcement of its default charge-back mechanics is “unjust and unreasonable" with respect to future defaults.  </w:t>
      </w:r>
      <w:r>
        <w:rPr>
          <w:rFonts w:cs="Courier New" w:ascii="Courier New" w:hAnsi="Courier New"/>
          <w:sz w:val="24"/>
          <w:u w:val="single"/>
        </w:rPr>
        <w:t>Id.</w:t>
      </w:r>
      <w:r>
        <w:rPr>
          <w:rFonts w:cs="Courier New" w:ascii="Courier New" w:hAnsi="Courier New"/>
          <w:sz w:val="24"/>
        </w:rPr>
        <w:t xml:space="preserve">  The complaint in the Salt River Charge-Back Proceeding likewise requests a declaration that the CalPX's "use of the charge back provisions [is] unjust and unreasonable."  Urick Decl. Exh. 3 at 10.  The same is true of the complaint in the PSCNM Default Charge-Back Proceeding, which asks that the charge-back provisions "be stricken from the tariff."  Urick Decl. Exh. 4 at 3.</w:t>
      </w:r>
    </w:p>
    <w:p>
      <w:pPr>
        <w:pStyle w:val="Normal"/>
        <w:jc w:val="both"/>
        <w:rPr>
          <w:rFonts w:ascii="Courier New" w:hAnsi="Courier New" w:cs="Courier New"/>
          <w:sz w:val="24"/>
        </w:rPr>
      </w:pPr>
      <w:r>
        <w:rPr>
          <w:rFonts w:cs="Courier New" w:ascii="Courier New" w:hAnsi="Courier New"/>
          <w:sz w:val="24"/>
        </w:rPr>
        <w:tab/>
        <w:t xml:space="preserve">In sum, the essence of Default Charge-Back Proceedings calls for and requires determinations of reasonableness under the CalPX's FERC-filed tariffs. </w:t>
      </w:r>
    </w:p>
    <w:p>
      <w:pPr>
        <w:pStyle w:val="Normal"/>
        <w:ind w:hanging="720" w:start="2160" w:end="0"/>
        <w:jc w:val="both"/>
        <w:rPr/>
      </w:pPr>
      <w:r>
        <w:rPr>
          <w:rFonts w:cs="Courier New" w:ascii="Courier New" w:hAnsi="Courier New"/>
          <w:b/>
          <w:bCs/>
          <w:sz w:val="24"/>
        </w:rPr>
        <w:t>2.</w:t>
        <w:tab/>
        <w:t>FERC Has Exclusive Jurisdiction To Determine The Justness And Reasonableness Of The Rates, Terms And Conditions Of Jurisdictional Public Utilities</w:t>
      </w:r>
      <w:r>
        <w:rPr>
          <w:rFonts w:cs="Courier New" w:ascii="Courier New" w:hAnsi="Courier New"/>
          <w:sz w:val="24"/>
        </w:rPr>
        <w:t>.</w:t>
      </w:r>
    </w:p>
    <w:p>
      <w:pPr>
        <w:pStyle w:val="Normal"/>
        <w:jc w:val="both"/>
        <w:rPr>
          <w:rFonts w:ascii="Courier New" w:hAnsi="Courier New" w:cs="Courier New"/>
          <w:sz w:val="24"/>
        </w:rPr>
      </w:pPr>
      <w:r>
        <w:rPr>
          <w:rFonts w:cs="Courier New" w:ascii="Courier New" w:hAnsi="Courier New"/>
          <w:sz w:val="24"/>
        </w:rPr>
        <w:tab/>
        <w:t>Section 205 of the FPA, 16 U.S.C. Section 824d, requires all rates, and rules and regulations affecting such rates, to be just and reasonable and requires public utilities to file all rate schedules setting forth the rates, terms and conditions of jurisdictional service.  Section 206 of the FPA, 16 U.S.C. Section 824e, permits FERC to determine new rates, terms and conditions on a prospective basis upon a finding that existing rates, terms and conditions of service are unjust and unreasonable.  The default charge-back plaintiffs filed their complaints at FERC and sought relief pursuant to Section 206.</w:t>
      </w:r>
    </w:p>
    <w:p>
      <w:pPr>
        <w:pStyle w:val="Normal"/>
        <w:jc w:val="both"/>
        <w:rPr>
          <w:rFonts w:ascii="Courier New" w:hAnsi="Courier New" w:cs="Courier New"/>
          <w:sz w:val="24"/>
        </w:rPr>
      </w:pPr>
      <w:r>
        <w:rPr>
          <w:rFonts w:cs="Courier New" w:ascii="Courier New" w:hAnsi="Courier New"/>
          <w:sz w:val="24"/>
        </w:rPr>
        <w:tab/>
        <w:t>It is well established that the determination of the reasonableness of the rates, terms and conditions of service of a FERC-jurisdictional public utility is exclusively within the jurisdiction of FERC.</w:t>
      </w:r>
    </w:p>
    <w:p>
      <w:pPr>
        <w:pStyle w:val="Normal"/>
        <w:jc w:val="both"/>
        <w:rPr/>
      </w:pPr>
      <w:r>
        <w:rPr>
          <w:rFonts w:cs="Courier New" w:ascii="Courier New" w:hAnsi="Courier New"/>
          <w:sz w:val="24"/>
        </w:rPr>
        <w:tab/>
        <w:t xml:space="preserve">In </w:t>
      </w:r>
      <w:r>
        <w:rPr>
          <w:rFonts w:cs="Courier New" w:ascii="Courier New" w:hAnsi="Courier New"/>
          <w:sz w:val="24"/>
          <w:u w:val="single"/>
        </w:rPr>
        <w:t>Montana-Dakota Utilities Co. v. North Western Public Service Co.</w:t>
      </w:r>
      <w:r>
        <w:rPr>
          <w:rFonts w:cs="Courier New" w:ascii="Courier New" w:hAnsi="Courier New"/>
          <w:sz w:val="24"/>
        </w:rPr>
        <w:t>, 341 U.S. 246 (1951), a utility had sued another utility in U.S. District Court and had received a damage award on the ground that certain rates for service were unreasonable under the FPA.  The Supreme Court reversed the District Court, holding that the action did not properly lie with the District Court: “We hold that the right to a reasonable rate is the right to the rate which the Commission files or fixes, and that, except for review of the Commission's orders, the courts can assume no right to a different one on the ground that, in its opinion, it is the only or the more reasonable one."</w:t>
      </w:r>
    </w:p>
    <w:p>
      <w:pPr>
        <w:pStyle w:val="Normal"/>
        <w:jc w:val="both"/>
        <w:rPr/>
      </w:pPr>
      <w:r>
        <w:rPr>
          <w:rFonts w:cs="Courier New" w:ascii="Courier New" w:hAnsi="Courier New"/>
          <w:sz w:val="24"/>
        </w:rPr>
        <w:tab/>
        <w:t xml:space="preserve">In </w:t>
      </w:r>
      <w:r>
        <w:rPr>
          <w:rFonts w:cs="Courier New" w:ascii="Courier New" w:hAnsi="Courier New"/>
          <w:sz w:val="24"/>
          <w:u w:val="single"/>
        </w:rPr>
        <w:t>Nantahala Power &amp; Light Co. v. Thornburg</w:t>
      </w:r>
      <w:r>
        <w:rPr>
          <w:rFonts w:cs="Courier New" w:ascii="Courier New" w:hAnsi="Courier New"/>
          <w:sz w:val="24"/>
        </w:rPr>
        <w:t xml:space="preserve">, 476 U.S. 953 (1986), the court determined that a state commission was precluded from altering a FERC-ordered allocation of purchased power and substituting its own allocation.  The Supreme Court followed the </w:t>
      </w:r>
      <w:r>
        <w:rPr>
          <w:rFonts w:cs="Courier New" w:ascii="Courier New" w:hAnsi="Courier New"/>
          <w:sz w:val="24"/>
          <w:u w:val="single"/>
        </w:rPr>
        <w:t>Nantahala</w:t>
      </w:r>
      <w:r>
        <w:rPr>
          <w:rFonts w:cs="Courier New" w:ascii="Courier New" w:hAnsi="Courier New"/>
          <w:sz w:val="24"/>
        </w:rPr>
        <w:t xml:space="preserve"> precedent in </w:t>
      </w:r>
      <w:r>
        <w:rPr>
          <w:rFonts w:cs="Courier New" w:ascii="Courier New" w:hAnsi="Courier New"/>
          <w:sz w:val="24"/>
          <w:u w:val="single"/>
        </w:rPr>
        <w:t>Mississippi Power &amp; Light Co. v. Mississippi</w:t>
      </w:r>
      <w:r>
        <w:rPr>
          <w:rFonts w:cs="Courier New" w:ascii="Courier New" w:hAnsi="Courier New"/>
          <w:sz w:val="24"/>
        </w:rPr>
        <w:t xml:space="preserve">, 487 U.S. 354 (1988), where it held that, where FERC has allocated a specified percentage of capacity costs of a nuclear plant to a particular utility, the state commission must treat the costs as reasonably incurred for retail ratemaking purposes.  The Court stated that “FERC has exclusive authority to determine the reasonableness of wholesale rates" and that "FERC's exclusive jurisdiction applies not only to rates but also to power allocations that affect wholesale rates."  </w:t>
      </w:r>
      <w:r>
        <w:rPr>
          <w:rFonts w:cs="Courier New" w:ascii="Courier New" w:hAnsi="Courier New"/>
          <w:sz w:val="24"/>
          <w:u w:val="single"/>
        </w:rPr>
        <w:t>Id.</w:t>
      </w:r>
      <w:r>
        <w:rPr>
          <w:rFonts w:cs="Courier New" w:ascii="Courier New" w:hAnsi="Courier New"/>
          <w:sz w:val="24"/>
        </w:rPr>
        <w:t xml:space="preserve"> at 371.  The court made it absolutely clear: “The reasonableness of rates and agreements regulated by FERC may not be collaterally attacked in state or federal courts.  The only appropriate forum for such a challenge is before the Commission or a court reviewing the Commission's order."  </w:t>
      </w:r>
      <w:r>
        <w:rPr>
          <w:rFonts w:cs="Courier New" w:ascii="Courier New" w:hAnsi="Courier New"/>
          <w:sz w:val="24"/>
          <w:u w:val="single"/>
        </w:rPr>
        <w:t>Id</w:t>
      </w:r>
      <w:r>
        <w:rPr>
          <w:rFonts w:cs="Courier New" w:ascii="Courier New" w:hAnsi="Courier New"/>
          <w:sz w:val="24"/>
        </w:rPr>
        <w:t>. at 375.</w:t>
      </w:r>
    </w:p>
    <w:p>
      <w:pPr>
        <w:pStyle w:val="Normal"/>
        <w:jc w:val="both"/>
        <w:rPr/>
      </w:pPr>
      <w:r>
        <w:rPr>
          <w:rFonts w:cs="Courier New" w:ascii="Courier New" w:hAnsi="Courier New"/>
          <w:sz w:val="24"/>
        </w:rPr>
        <w:tab/>
        <w:t xml:space="preserve">There is no question that CalPX's services come within FERC's jurisdiction.  </w:t>
      </w:r>
      <w:r>
        <w:rPr>
          <w:rFonts w:cs="Courier New" w:ascii="Courier New" w:hAnsi="Courier New"/>
          <w:sz w:val="24"/>
          <w:u w:val="single"/>
        </w:rPr>
        <w:t>Automated Power Exch., Inc. v. FERC</w:t>
      </w:r>
      <w:r>
        <w:rPr>
          <w:rFonts w:cs="Courier New" w:ascii="Courier New" w:hAnsi="Courier New"/>
          <w:sz w:val="24"/>
        </w:rPr>
        <w:t xml:space="preserve">, 204 F.3d 1144, 1147 (D.C. Cir. 2000) (“FERC had recognized a new kind of public utility in recent decisions concerning the California Power Exchange ('CalPX'). . . .")  As FERC observed during the start-up period when the CalPX and ISO made their initial filings:  “[B]oth the California Commission [CPUC] and Legislature acknowledge that this Commission has exclusive authority over the rates, terms and conditions of sales for resale of electric energy in interstate commerce by public utilities, including the Companies [investor-owned utilities] and the PX."  </w:t>
      </w:r>
      <w:r>
        <w:rPr>
          <w:rFonts w:cs="Courier New" w:ascii="Courier New" w:hAnsi="Courier New"/>
          <w:sz w:val="24"/>
          <w:u w:val="single"/>
        </w:rPr>
        <w:t>Pacific Gas &amp; Electric Co.</w:t>
      </w:r>
      <w:r>
        <w:rPr>
          <w:rFonts w:cs="Courier New" w:ascii="Courier New" w:hAnsi="Courier New"/>
          <w:sz w:val="24"/>
        </w:rPr>
        <w:t>, 77 F.E.R.C. ¶ 61,265 at 62,088, 1996 FERC LEXIS 2319 at *63 (1996)(footnote omitted).</w:t>
      </w:r>
      <w:r>
        <w:rPr>
          <w:rStyle w:val="FootnoteCharacters"/>
          <w:rStyle w:val="FootnoteReference"/>
          <w:rFonts w:cs="Courier New" w:ascii="Courier New" w:hAnsi="Courier New"/>
          <w:sz w:val="24"/>
        </w:rPr>
        <w:footnoteReference w:id="4"/>
      </w:r>
      <w:r>
        <w:rPr>
          <w:rFonts w:cs="Courier New" w:ascii="Courier New" w:hAnsi="Courier New"/>
          <w:sz w:val="24"/>
        </w:rPr>
        <w:t xml:space="preserve"> </w:t>
      </w:r>
    </w:p>
    <w:p>
      <w:pPr>
        <w:pStyle w:val="BodyTextIndent"/>
        <w:jc w:val="both"/>
        <w:rPr/>
      </w:pPr>
      <w:r>
        <w:rPr/>
        <w:t>In short, the determination of the reasonableness of the rates, terms and conditions in the CalPX tariffs is within the exclusive jurisdiction of FERC.</w:t>
      </w:r>
    </w:p>
    <w:p>
      <w:pPr>
        <w:pStyle w:val="Normal"/>
        <w:ind w:hanging="720" w:start="2160" w:end="0"/>
        <w:jc w:val="both"/>
        <w:rPr/>
      </w:pPr>
      <w:r>
        <w:rPr>
          <w:rFonts w:cs="Courier New" w:ascii="Courier New" w:hAnsi="Courier New"/>
          <w:b/>
          <w:bCs/>
          <w:sz w:val="24"/>
        </w:rPr>
        <w:t>3.</w:t>
        <w:tab/>
        <w:t>Alternatively, The Court Should Defer To FERC Under The Doctrine Of Primary Jurisdiction</w:t>
      </w:r>
      <w:r>
        <w:rPr>
          <w:rFonts w:cs="Courier New" w:ascii="Courier New" w:hAnsi="Courier New"/>
          <w:sz w:val="24"/>
        </w:rPr>
        <w:t>.</w:t>
      </w:r>
    </w:p>
    <w:p>
      <w:pPr>
        <w:pStyle w:val="Normal"/>
        <w:spacing w:lineRule="auto" w:line="480"/>
        <w:jc w:val="both"/>
        <w:rPr/>
      </w:pPr>
      <w:r>
        <w:rPr>
          <w:rFonts w:cs="Courier New" w:ascii="Courier New" w:hAnsi="Courier New"/>
          <w:sz w:val="24"/>
        </w:rPr>
        <w:tab/>
        <w:t xml:space="preserve">If for some reason the Court determines that it has concurrent jurisdiction together with FERC over some of the issues raised by the Participants in the Default Charge-Back Proceedings, or if it decides not to reach the exclusive jurisdiction issue, it should nevertheless refer all of those matters to FERC under the doctrine of primary jurisdiction.  That doctrine requires a court, in certain circumstances, to refer a matter to the pertinent regulatory agency.  </w:t>
      </w:r>
      <w:r>
        <w:rPr>
          <w:rFonts w:cs="Courier New" w:ascii="Courier New" w:hAnsi="Courier New"/>
          <w:sz w:val="24"/>
          <w:u w:val="single"/>
        </w:rPr>
        <w:t>See</w:t>
      </w:r>
      <w:r>
        <w:rPr>
          <w:rFonts w:cs="Courier New" w:ascii="Courier New" w:hAnsi="Courier New"/>
          <w:sz w:val="24"/>
        </w:rPr>
        <w:t xml:space="preserve">, </w:t>
      </w:r>
      <w:r>
        <w:rPr>
          <w:rFonts w:cs="Courier New" w:ascii="Courier New" w:hAnsi="Courier New"/>
          <w:sz w:val="24"/>
          <w:u w:val="single"/>
        </w:rPr>
        <w:t>e.g.</w:t>
      </w:r>
      <w:r>
        <w:rPr>
          <w:rFonts w:cs="Courier New" w:ascii="Courier New" w:hAnsi="Courier New"/>
          <w:sz w:val="24"/>
        </w:rPr>
        <w:t xml:space="preserve">, </w:t>
      </w:r>
      <w:r>
        <w:rPr>
          <w:rFonts w:cs="Courier New" w:ascii="Courier New" w:hAnsi="Courier New"/>
          <w:sz w:val="24"/>
          <w:u w:val="single"/>
        </w:rPr>
        <w:t>Southwestern Sugar &amp; Molasses Co. v. River Terminals Corp.</w:t>
      </w:r>
      <w:r>
        <w:rPr>
          <w:rFonts w:cs="Courier New" w:ascii="Courier New" w:hAnsi="Courier New"/>
          <w:sz w:val="24"/>
        </w:rPr>
        <w:t xml:space="preserve">, 360 U.S. 411 (1959); </w:t>
      </w:r>
      <w:r>
        <w:rPr>
          <w:rFonts w:cs="Courier New" w:ascii="Courier New" w:hAnsi="Courier New"/>
          <w:sz w:val="24"/>
          <w:u w:val="single"/>
        </w:rPr>
        <w:t>United States v. Western P. R.R. Co.</w:t>
      </w:r>
      <w:r>
        <w:rPr>
          <w:rFonts w:cs="Courier New" w:ascii="Courier New" w:hAnsi="Courier New"/>
          <w:sz w:val="24"/>
        </w:rPr>
        <w:t>, 352 U.S. 59, 63-65 (1956).  The purposes of the doctrine are to (1) ensure uniformity in the determination of administrative decisions and (2) promote reliance on agency expertise where the court is presented with a question outside its conventional experience.  352 U.S. at 64.</w:t>
      </w:r>
    </w:p>
    <w:p>
      <w:pPr>
        <w:pStyle w:val="Normal"/>
        <w:jc w:val="both"/>
        <w:rPr/>
      </w:pPr>
      <w:r>
        <w:rPr>
          <w:rFonts w:cs="Courier New" w:ascii="Courier New" w:hAnsi="Courier New"/>
          <w:sz w:val="24"/>
        </w:rPr>
        <w:tab/>
        <w:t xml:space="preserve">In </w:t>
      </w:r>
      <w:r>
        <w:rPr>
          <w:rFonts w:cs="Courier New" w:ascii="Courier New" w:hAnsi="Courier New"/>
          <w:sz w:val="24"/>
          <w:u w:val="single"/>
        </w:rPr>
        <w:t>Williams Pipe Line Co. v. Empire Gas Corp.</w:t>
      </w:r>
      <w:r>
        <w:rPr>
          <w:rFonts w:cs="Courier New" w:ascii="Courier New" w:hAnsi="Courier New"/>
          <w:sz w:val="24"/>
        </w:rPr>
        <w:t>, 76 F.3d 1491 (10th Cir. 1996), the District Court had determined that a provision in a FERC-filed tariff was void as against public policy.  The appellate court vacated the decision and required the District Court to refer the issue to FERC pursuant to the doctrine of primary jurisdiction.  The court concluded “that the determination whether the instant tariff indemnity provision violates public policy requires agency expertise and that uniformity will be best ensured by referring the matter to FERC.  A pipeline carrier's allocation of legal responsibility to its shippers for selection of a propane odorant may involve cost-allocation and technical factors unique to the pipeline industry, which are outside the conventional experience of this court."  76 F.3d at 1497.</w:t>
      </w:r>
    </w:p>
    <w:p>
      <w:pPr>
        <w:pStyle w:val="Normal"/>
        <w:jc w:val="both"/>
        <w:rPr/>
      </w:pPr>
      <w:r>
        <w:rPr>
          <w:rFonts w:cs="Courier New" w:ascii="Courier New" w:hAnsi="Courier New"/>
          <w:sz w:val="24"/>
        </w:rPr>
        <w:tab/>
        <w:t xml:space="preserve">The factors relevant to a determination of whether to defer to an agency under the doctrine of primary jurisdiction are whether the question at issue is “within the conventional experience of judges" or within the agency's “discretion or . . . particular expertise," “whether there exists a danger of inconsistent rulings," and “whether a prior application to the agency has been made."  </w:t>
      </w:r>
      <w:r>
        <w:rPr>
          <w:rFonts w:cs="Courier New" w:ascii="Courier New" w:hAnsi="Courier New"/>
          <w:sz w:val="24"/>
          <w:u w:val="single"/>
        </w:rPr>
        <w:t>Niagara Mohawk Power Corp. v. Megan- Racine Assocs. (In re Megan-Racine Assocs.)</w:t>
      </w:r>
      <w:r>
        <w:rPr>
          <w:rFonts w:cs="Courier New" w:ascii="Courier New" w:hAnsi="Courier New"/>
          <w:sz w:val="24"/>
        </w:rPr>
        <w:t>, 180 B.R. 375, 381 (Bankr. N.D. N.Y. 1995).</w:t>
      </w:r>
    </w:p>
    <w:p>
      <w:pPr>
        <w:pStyle w:val="BodyText2"/>
        <w:jc w:val="both"/>
        <w:rPr>
          <w:rFonts w:ascii="Courier New" w:hAnsi="Courier New" w:cs="Courier New"/>
        </w:rPr>
      </w:pPr>
      <w:r>
        <w:rPr>
          <w:rFonts w:cs="Courier New" w:ascii="Courier New" w:hAnsi="Courier New"/>
        </w:rPr>
        <w:tab/>
        <w:t>All of these elements are present here and require the Court to refer the default charge-back issue under the CalPX tariffs to FERC.  First, as discussed above, the complaints in the Default Charge-Back Proceedings demand determinations of whether the CalPX's present enforcement of default charge-backs is reasonable and, if not, what should be the reasonable default enforcement practice.  Such a process implicates FERC's unique rate-making and regulatory expertise and is outside the conventional expertise of courts.  The general public policy decisions required by the complaints in the Default Charge-Back Proceedings also are matters falling within FERC's unique specialization and expertise.</w:t>
      </w:r>
    </w:p>
    <w:p>
      <w:pPr>
        <w:pStyle w:val="Normal"/>
        <w:jc w:val="both"/>
        <w:rPr/>
      </w:pPr>
      <w:r>
        <w:rPr>
          <w:rFonts w:cs="Courier New" w:ascii="Courier New" w:hAnsi="Courier New"/>
          <w:sz w:val="24"/>
        </w:rPr>
        <w:tab/>
        <w:t xml:space="preserve">Second, FERC has actively investigated the California wholesale electricity markets and has prescribed a series of complex remedies for those markets, including termination of the two operative CalPX rate schedules, </w:t>
      </w:r>
      <w:r>
        <w:rPr>
          <w:rFonts w:cs="Courier New" w:ascii="Courier New" w:hAnsi="Courier New"/>
          <w:sz w:val="24"/>
          <w:u w:val="single"/>
        </w:rPr>
        <w:t>see</w:t>
      </w:r>
      <w:r>
        <w:rPr>
          <w:rFonts w:cs="Courier New" w:ascii="Courier New" w:hAnsi="Courier New"/>
          <w:sz w:val="24"/>
        </w:rPr>
        <w:t xml:space="preserve"> </w:t>
      </w:r>
      <w:r>
        <w:rPr>
          <w:rFonts w:cs="Courier New" w:ascii="Courier New" w:hAnsi="Courier New"/>
          <w:sz w:val="24"/>
          <w:u w:val="single"/>
        </w:rPr>
        <w:t>San Diego Gas &amp; Electric Co.</w:t>
      </w:r>
      <w:r>
        <w:rPr>
          <w:rFonts w:cs="Courier New" w:ascii="Courier New" w:hAnsi="Courier New"/>
          <w:sz w:val="24"/>
        </w:rPr>
        <w:t xml:space="preserve">, 93 F.E.R.C. ¶ 61,294, 2000 FERC LEXIS 2491 (December 15, 2000), and restructuring of certain creditworthiness requirements for CalPX Participants.  </w:t>
      </w:r>
      <w:r>
        <w:rPr>
          <w:rFonts w:cs="Courier New" w:ascii="Courier New" w:hAnsi="Courier New"/>
          <w:sz w:val="24"/>
          <w:u w:val="single"/>
        </w:rPr>
        <w:t>See</w:t>
      </w:r>
      <w:r>
        <w:rPr>
          <w:rFonts w:cs="Courier New" w:ascii="Courier New" w:hAnsi="Courier New"/>
          <w:sz w:val="24"/>
        </w:rPr>
        <w:t xml:space="preserve"> </w:t>
      </w:r>
      <w:r>
        <w:rPr>
          <w:rFonts w:cs="Courier New" w:ascii="Courier New" w:hAnsi="Courier New"/>
          <w:sz w:val="24"/>
          <w:u w:val="single"/>
        </w:rPr>
        <w:t>California Independent System Operater Corp.</w:t>
      </w:r>
      <w:r>
        <w:rPr>
          <w:rFonts w:cs="Courier New" w:ascii="Courier New" w:hAnsi="Courier New"/>
          <w:sz w:val="24"/>
        </w:rPr>
        <w:t xml:space="preserve">, 94 F.E.R.C. ¶ 61,132, 2001 FERC LEXIS 282 (February 14, 2001).  Because FERC has taken a “hands-on" approach to the California electricity crisis, it is critical that determinations that affect California be harmonious with existing FERC decisions.  FERC is obviously in the best position to make those decisions and to interpret applicable FERC precedent, as the Participants have requested.  </w:t>
      </w:r>
      <w:r>
        <w:rPr>
          <w:rFonts w:cs="Courier New" w:ascii="Courier New" w:hAnsi="Courier New"/>
          <w:sz w:val="24"/>
          <w:u w:val="single"/>
        </w:rPr>
        <w:t>See</w:t>
      </w:r>
      <w:r>
        <w:rPr>
          <w:rFonts w:cs="Courier New" w:ascii="Courier New" w:hAnsi="Courier New"/>
          <w:sz w:val="24"/>
        </w:rPr>
        <w:t xml:space="preserve">, </w:t>
      </w:r>
      <w:r>
        <w:rPr>
          <w:rFonts w:cs="Courier New" w:ascii="Courier New" w:hAnsi="Courier New"/>
          <w:sz w:val="24"/>
          <w:u w:val="single"/>
        </w:rPr>
        <w:t>e.g.</w:t>
      </w:r>
      <w:r>
        <w:rPr>
          <w:rFonts w:cs="Courier New" w:ascii="Courier New" w:hAnsi="Courier New"/>
          <w:sz w:val="24"/>
        </w:rPr>
        <w:t>, the complaint in the Coral Power Default Charge-Back Proceeding, ¶¶ 8, 17, 20, 21, 40, 43.</w:t>
      </w:r>
    </w:p>
    <w:p>
      <w:pPr>
        <w:pStyle w:val="Normal"/>
        <w:jc w:val="both"/>
        <w:rPr/>
      </w:pPr>
      <w:r>
        <w:rPr>
          <w:rFonts w:cs="Courier New" w:ascii="Courier New" w:hAnsi="Courier New"/>
          <w:sz w:val="24"/>
        </w:rPr>
        <w:tab/>
        <w:t xml:space="preserve">Third, prior applications to FERC have already been made, by the Participants in the Default Charge-Back Proceedings, who therefore appear amenable to the relief sought here by the CalPX.  Under these circumstances, deference and referral of the pertinent issues to FERC is well warranted.  </w:t>
      </w:r>
      <w:r>
        <w:rPr>
          <w:rFonts w:cs="Courier New" w:ascii="Courier New" w:hAnsi="Courier New"/>
          <w:sz w:val="24"/>
          <w:u w:val="single"/>
        </w:rPr>
        <w:t>See</w:t>
      </w:r>
      <w:r>
        <w:rPr>
          <w:rFonts w:cs="Courier New" w:ascii="Courier New" w:hAnsi="Courier New"/>
          <w:sz w:val="24"/>
        </w:rPr>
        <w:t xml:space="preserve"> </w:t>
      </w:r>
      <w:r>
        <w:rPr>
          <w:rFonts w:cs="Courier New" w:ascii="Courier New" w:hAnsi="Courier New"/>
          <w:sz w:val="24"/>
          <w:u w:val="single"/>
        </w:rPr>
        <w:t>Niagara Mohawk Power</w:t>
      </w:r>
      <w:r>
        <w:rPr>
          <w:rFonts w:cs="Courier New" w:ascii="Courier New" w:hAnsi="Courier New"/>
          <w:sz w:val="24"/>
        </w:rPr>
        <w:t>, 180 B.R. at 381-82 (referral to FERC of the determination of whether a cogeneration facility has maintained compliance with FERC standards is proper under doctrine of primary jurisdiction).  For these reasons, the Court should allow the Default Charge-Back Proceedings to proceed before FERC under the doctrine of primary jurisdiction.</w:t>
      </w:r>
    </w:p>
    <w:p>
      <w:pPr>
        <w:pStyle w:val="BodyTextIndent3"/>
        <w:jc w:val="both"/>
        <w:rPr/>
      </w:pPr>
      <w:r>
        <w:rPr/>
        <w:t>B.</w:t>
        <w:tab/>
        <w:t>Judicial Economy Would Be Served By Allowing FERC To Resolve The Issues Already Before It.</w:t>
      </w:r>
    </w:p>
    <w:p>
      <w:pPr>
        <w:pStyle w:val="Normal"/>
        <w:jc w:val="both"/>
        <w:rPr/>
      </w:pPr>
      <w:r>
        <w:rPr>
          <w:rFonts w:cs="Courier New" w:ascii="Courier New" w:hAnsi="Courier New"/>
          <w:sz w:val="24"/>
        </w:rPr>
        <w:tab/>
        <w:t xml:space="preserve">This Court “may properly consider the factor of judicial economy in deciding whether to lift an automatic stay." </w:t>
      </w:r>
      <w:r>
        <w:rPr>
          <w:rFonts w:cs="Courier New" w:ascii="Courier New" w:hAnsi="Courier New"/>
          <w:sz w:val="24"/>
          <w:u w:val="single"/>
        </w:rPr>
        <w:t>In re Kemble</w:t>
      </w:r>
      <w:r>
        <w:rPr>
          <w:rFonts w:cs="Courier New" w:ascii="Courier New" w:hAnsi="Courier New"/>
          <w:sz w:val="24"/>
        </w:rPr>
        <w:t>, 776 F.2d 802, 807 (9th Cir. 1985).  In</w:t>
      </w:r>
      <w:r>
        <w:rPr>
          <w:rFonts w:cs="Courier New" w:ascii="Courier New" w:hAnsi="Courier New"/>
          <w:sz w:val="24"/>
          <w:u w:val="single"/>
        </w:rPr>
        <w:t xml:space="preserve"> Kemble</w:t>
      </w:r>
      <w:r>
        <w:rPr>
          <w:rFonts w:cs="Courier New" w:ascii="Courier New" w:hAnsi="Courier New"/>
          <w:sz w:val="24"/>
        </w:rPr>
        <w:t xml:space="preserve">, the Ninth Circuit Court of Appeals, in affirming relief from the automatic stay to permit completion of a pending trial, stated:  “The prior extensive preparation for the damages retrial made proceeding with that trial efficient.  The decision to lift the stay could be upheld on this ground alone."  </w:t>
      </w:r>
      <w:r>
        <w:rPr>
          <w:rFonts w:cs="Courier New" w:ascii="Courier New" w:hAnsi="Courier New"/>
          <w:sz w:val="24"/>
          <w:u w:val="single"/>
        </w:rPr>
        <w:t>Id.</w:t>
      </w:r>
      <w:r>
        <w:rPr>
          <w:rFonts w:cs="Courier New" w:ascii="Courier New" w:hAnsi="Courier New"/>
          <w:sz w:val="24"/>
        </w:rPr>
        <w:t xml:space="preserve">; </w:t>
      </w:r>
      <w:r>
        <w:rPr>
          <w:rFonts w:cs="Courier New" w:ascii="Courier New" w:hAnsi="Courier New"/>
          <w:sz w:val="24"/>
          <w:u w:val="single"/>
        </w:rPr>
        <w:t>see</w:t>
      </w:r>
      <w:r>
        <w:rPr>
          <w:rFonts w:cs="Courier New" w:ascii="Courier New" w:hAnsi="Courier New"/>
          <w:sz w:val="24"/>
        </w:rPr>
        <w:t xml:space="preserve"> </w:t>
      </w:r>
      <w:r>
        <w:rPr>
          <w:rFonts w:cs="Courier New" w:ascii="Courier New" w:hAnsi="Courier New"/>
          <w:sz w:val="24"/>
          <w:u w:val="single"/>
        </w:rPr>
        <w:t>also</w:t>
      </w:r>
      <w:r>
        <w:rPr>
          <w:rFonts w:cs="Courier New" w:ascii="Courier New" w:hAnsi="Courier New"/>
          <w:sz w:val="24"/>
        </w:rPr>
        <w:t xml:space="preserve"> </w:t>
      </w:r>
      <w:r>
        <w:rPr>
          <w:rFonts w:cs="Courier New" w:ascii="Courier New" w:hAnsi="Courier New"/>
          <w:sz w:val="24"/>
          <w:u w:val="single"/>
        </w:rPr>
        <w:t>In re Tucson Estates, Inc.</w:t>
      </w:r>
      <w:r>
        <w:rPr>
          <w:rFonts w:cs="Courier New" w:ascii="Courier New" w:hAnsi="Courier New"/>
          <w:sz w:val="24"/>
        </w:rPr>
        <w:t xml:space="preserve">, 912 F.2d 1162, 1166 (9th Cir. 1990) (reversing, under abuse of discretion standard, bankruptcy court's denial of motion for relief from stay to allow state court class action to proceed); </w:t>
      </w:r>
      <w:r>
        <w:rPr>
          <w:rFonts w:cs="Courier New" w:ascii="Courier New" w:hAnsi="Courier New"/>
          <w:sz w:val="24"/>
          <w:u w:val="single"/>
        </w:rPr>
        <w:t>In re Castlerock Properties</w:t>
      </w:r>
      <w:r>
        <w:rPr>
          <w:rFonts w:cs="Courier New" w:ascii="Courier New" w:hAnsi="Courier New"/>
          <w:sz w:val="24"/>
        </w:rPr>
        <w:t xml:space="preserve">, 781 F.2d 159, 169 (9th Cir. 1986) (affirming provision of relief from stay, emphasizing importance of fact that state court trial about to take place); </w:t>
      </w:r>
      <w:r>
        <w:rPr>
          <w:rFonts w:cs="Courier New" w:ascii="Courier New" w:hAnsi="Courier New"/>
          <w:sz w:val="24"/>
          <w:u w:val="single"/>
        </w:rPr>
        <w:t>In re Peterson</w:t>
      </w:r>
      <w:r>
        <w:rPr>
          <w:rFonts w:cs="Courier New" w:ascii="Courier New" w:hAnsi="Courier New"/>
          <w:sz w:val="24"/>
        </w:rPr>
        <w:t xml:space="preserve">, 116 B.R. 247, 250 (D. Colo. 1990) (affirming bankruptcy court's order lifting the automatic stay, finding that continuation of the stay would force movant to undertake redundant litigation in state and bankruptcy court and would be "a waste of judicial resources"); </w:t>
      </w:r>
      <w:r>
        <w:rPr>
          <w:rFonts w:cs="Courier New" w:ascii="Courier New" w:hAnsi="Courier New"/>
          <w:sz w:val="24"/>
          <w:u w:val="single"/>
        </w:rPr>
        <w:t>In re Wheeler Group, Inc.</w:t>
      </w:r>
      <w:r>
        <w:rPr>
          <w:rFonts w:cs="Courier New" w:ascii="Courier New" w:hAnsi="Courier New"/>
          <w:sz w:val="24"/>
        </w:rPr>
        <w:t xml:space="preserve">, 75 B.R. 200 (Bankr. S.D. Ohio 1987) (“[t]he liquidation of claims is a necessary step in bringing any bankruptcy case to a conclusion . . . [and] since the matter has proceeded through very substantial adjudicatory steps in the District Court, . . . the most expeditious way to liquidate the claim is to allow it to proceed to its conclusion in the District Court"). </w:t>
      </w:r>
    </w:p>
    <w:p>
      <w:pPr>
        <w:pStyle w:val="Normal"/>
        <w:jc w:val="both"/>
        <w:rPr/>
      </w:pPr>
      <w:r>
        <w:rPr>
          <w:rFonts w:cs="Courier New" w:ascii="Courier New" w:hAnsi="Courier New"/>
          <w:sz w:val="24"/>
        </w:rPr>
        <w:tab/>
        <w:t xml:space="preserve">Here, judicial economy favors lifting the automatic stay.  The parties have engaged in substantial briefing of the default charge-back related issues before FERC, which has already ruled on other issues relating to the CalPX tariffs.  </w:t>
      </w:r>
      <w:r>
        <w:rPr>
          <w:rFonts w:cs="Courier New" w:ascii="Courier New" w:hAnsi="Courier New"/>
          <w:sz w:val="24"/>
          <w:u w:val="single"/>
        </w:rPr>
        <w:t>See</w:t>
      </w:r>
      <w:r>
        <w:rPr>
          <w:rFonts w:cs="Courier New" w:ascii="Courier New" w:hAnsi="Courier New"/>
          <w:sz w:val="24"/>
        </w:rPr>
        <w:t xml:space="preserve"> </w:t>
      </w:r>
      <w:r>
        <w:rPr>
          <w:rFonts w:cs="Courier New" w:ascii="Courier New" w:hAnsi="Courier New"/>
          <w:sz w:val="24"/>
          <w:u w:val="single"/>
        </w:rPr>
        <w:t>supra</w:t>
      </w:r>
      <w:r>
        <w:rPr>
          <w:rFonts w:cs="Courier New" w:ascii="Courier New" w:hAnsi="Courier New"/>
          <w:sz w:val="24"/>
        </w:rPr>
        <w:t xml:space="preserve"> at 18-19.  Repeating that process in this Court and bringing this Court as up to speed on the CalPX tariffs and the default charge-back issues as FERC already is would be redundant and a waste of judicial resources.  On the other hand, letting FERC deal with matters that are uniquely within its province is plainly the most expeditious and efficient way to resolve these matters.  Accordingly, cause exists to modify the automatic stay to allow FERC to determine the issues before it and give effect to the Preliminary Injunction.</w:t>
      </w:r>
    </w:p>
    <w:p>
      <w:pPr>
        <w:pStyle w:val="Normal"/>
        <w:jc w:val="center"/>
        <w:rPr>
          <w:rFonts w:ascii="Courier New" w:hAnsi="Courier New" w:cs="Courier New"/>
          <w:b/>
          <w:bCs/>
          <w:sz w:val="24"/>
        </w:rPr>
      </w:pPr>
      <w:r>
        <w:rPr>
          <w:rFonts w:cs="Courier New" w:ascii="Courier New" w:hAnsi="Courier New"/>
          <w:b/>
          <w:bCs/>
          <w:sz w:val="24"/>
        </w:rPr>
        <w:t>IV.</w:t>
      </w:r>
    </w:p>
    <w:p>
      <w:pPr>
        <w:pStyle w:val="Normal"/>
        <w:jc w:val="center"/>
        <w:rPr>
          <w:rFonts w:ascii="Courier New" w:hAnsi="Courier New" w:cs="Courier New"/>
          <w:b/>
          <w:bCs/>
          <w:sz w:val="24"/>
        </w:rPr>
      </w:pPr>
      <w:r>
        <w:rPr>
          <w:rFonts w:cs="Courier New" w:ascii="Courier New" w:hAnsi="Courier New"/>
          <w:b/>
          <w:bCs/>
          <w:sz w:val="24"/>
        </w:rPr>
        <w:t>CONCLUSION</w:t>
      </w:r>
    </w:p>
    <w:p>
      <w:pPr>
        <w:pStyle w:val="BodyText2"/>
        <w:jc w:val="both"/>
        <w:rPr>
          <w:rFonts w:ascii="Courier New" w:hAnsi="Courier New" w:cs="Courier New"/>
        </w:rPr>
      </w:pPr>
      <w:r>
        <w:rPr>
          <w:rFonts w:cs="Courier New" w:ascii="Courier New" w:hAnsi="Courier New"/>
        </w:rPr>
        <w:tab/>
        <w:t xml:space="preserve">For all of the foregoing reasons, the CalPX respectfully requests that the Court enter in order permitting (1) the continuation of the Default Charge-Bank Proceedings before the </w:t>
      </w:r>
    </w:p>
    <w:p>
      <w:pPr>
        <w:pStyle w:val="Normal"/>
        <w:jc w:val="both"/>
        <w:rPr>
          <w:rFonts w:ascii="Courier New" w:hAnsi="Courier New" w:cs="Courier New"/>
          <w:sz w:val="24"/>
        </w:rPr>
      </w:pPr>
      <w:r>
        <w:rPr>
          <w:rFonts w:cs="Courier New" w:ascii="Courier New" w:hAnsi="Courier New"/>
          <w:sz w:val="24"/>
        </w:rPr>
        <w:t>FERC, and (2) the continuation of and compliance with the Preliminary Injunction, and any extensions thereof.</w:t>
      </w:r>
    </w:p>
    <w:p>
      <w:pPr>
        <w:pStyle w:val="Normal"/>
        <w:jc w:val="both"/>
        <w:rPr>
          <w:rFonts w:ascii="Courier New" w:hAnsi="Courier New" w:cs="Courier New"/>
          <w:sz w:val="24"/>
        </w:rPr>
      </w:pPr>
      <w:r>
        <w:rPr>
          <w:rFonts w:cs="Courier New" w:ascii="Courier New" w:hAnsi="Courier New"/>
          <w:sz w:val="24"/>
        </w:rPr>
      </w:r>
    </w:p>
    <w:p>
      <w:pPr>
        <w:pStyle w:val="Heading6"/>
        <w:ind w:hanging="0" w:start="0"/>
        <w:rPr/>
      </w:pPr>
      <w:r>
        <w:rPr/>
        <w:t>DATED:  March ___, 2001</w:t>
        <w:tab/>
        <w:tab/>
        <w:t xml:space="preserve">JEFFER, MANGELS, BUTLER &amp; </w:t>
      </w:r>
    </w:p>
    <w:p>
      <w:pPr>
        <w:pStyle w:val="Heading6"/>
        <w:ind w:firstLine="720" w:start="3600" w:end="0"/>
        <w:rPr/>
      </w:pPr>
      <w:r>
        <w:rPr/>
        <w:t>MARMARO LLP</w:t>
      </w:r>
    </w:p>
    <w:p>
      <w:pPr>
        <w:pStyle w:val="Normal"/>
        <w:spacing w:lineRule="auto" w:line="240"/>
        <w:jc w:val="both"/>
        <w:rPr>
          <w:rFonts w:ascii="Courier New" w:hAnsi="Courier New" w:cs="Courier New"/>
          <w:sz w:val="24"/>
        </w:rPr>
      </w:pPr>
      <w:r>
        <w:rPr>
          <w:rFonts w:cs="Courier New" w:ascii="Courier New" w:hAnsi="Courier New"/>
          <w:sz w:val="24"/>
        </w:rPr>
        <w:tab/>
        <w:tab/>
        <w:tab/>
        <w:tab/>
        <w:tab/>
        <w:tab/>
        <w:t>JOSEPH A. EISENBERG P.C.</w:t>
      </w:r>
    </w:p>
    <w:p>
      <w:pPr>
        <w:pStyle w:val="Normal"/>
        <w:spacing w:lineRule="auto" w:line="240"/>
        <w:ind w:firstLine="720" w:start="3600" w:end="0"/>
        <w:jc w:val="both"/>
        <w:rPr>
          <w:rFonts w:ascii="Courier New" w:hAnsi="Courier New" w:cs="Courier New"/>
          <w:sz w:val="24"/>
        </w:rPr>
      </w:pPr>
      <w:r>
        <w:rPr>
          <w:rFonts w:cs="Courier New" w:ascii="Courier New" w:hAnsi="Courier New"/>
          <w:sz w:val="24"/>
        </w:rPr>
        <w:t>DAN P. SEDOR</w:t>
      </w:r>
    </w:p>
    <w:p>
      <w:pPr>
        <w:pStyle w:val="Normal"/>
        <w:spacing w:lineRule="auto" w:line="240"/>
        <w:ind w:firstLine="720" w:start="3600" w:end="0"/>
        <w:jc w:val="both"/>
        <w:rPr>
          <w:rFonts w:ascii="Courier New" w:hAnsi="Courier New" w:cs="Courier New"/>
          <w:sz w:val="24"/>
        </w:rPr>
      </w:pPr>
      <w:r>
        <w:rPr>
          <w:rFonts w:cs="Courier New" w:ascii="Courier New" w:hAnsi="Courier New"/>
          <w:sz w:val="24"/>
        </w:rPr>
        <w:t>VICTORIA S. KAUFMAN</w:t>
      </w:r>
    </w:p>
    <w:p>
      <w:pPr>
        <w:pStyle w:val="Normal"/>
        <w:spacing w:lineRule="auto" w:line="240"/>
        <w:jc w:val="both"/>
        <w:rPr>
          <w:rFonts w:ascii="Courier New" w:hAnsi="Courier New" w:cs="Courier New"/>
          <w:sz w:val="24"/>
        </w:rPr>
      </w:pPr>
      <w:r>
        <w:rPr>
          <w:rFonts w:cs="Courier New" w:ascii="Courier New" w:hAnsi="Courier New"/>
          <w:sz w:val="24"/>
        </w:rPr>
      </w:r>
    </w:p>
    <w:p>
      <w:pPr>
        <w:pStyle w:val="Normal"/>
        <w:spacing w:lineRule="auto" w:line="240"/>
        <w:jc w:val="both"/>
        <w:rPr>
          <w:rFonts w:ascii="Courier New" w:hAnsi="Courier New" w:cs="Courier New"/>
          <w:sz w:val="24"/>
        </w:rPr>
      </w:pPr>
      <w:r>
        <w:rPr>
          <w:rFonts w:cs="Courier New" w:ascii="Courier New" w:hAnsi="Courier New"/>
          <w:sz w:val="24"/>
        </w:rPr>
      </w:r>
    </w:p>
    <w:p>
      <w:pPr>
        <w:pStyle w:val="Normal"/>
        <w:spacing w:lineRule="auto" w:line="240"/>
        <w:jc w:val="both"/>
        <w:rPr>
          <w:rFonts w:ascii="Courier New" w:hAnsi="Courier New" w:cs="Courier New"/>
          <w:sz w:val="24"/>
        </w:rPr>
      </w:pPr>
      <w:r>
        <w:rPr>
          <w:rFonts w:cs="Courier New" w:ascii="Courier New" w:hAnsi="Courier New"/>
          <w:sz w:val="24"/>
        </w:rPr>
      </w:r>
    </w:p>
    <w:p>
      <w:pPr>
        <w:pStyle w:val="Normal"/>
        <w:spacing w:lineRule="auto" w:line="240"/>
        <w:jc w:val="both"/>
        <w:rPr>
          <w:rFonts w:ascii="Courier New" w:hAnsi="Courier New" w:cs="Courier New"/>
          <w:sz w:val="24"/>
        </w:rPr>
      </w:pPr>
      <w:r>
        <w:rPr>
          <w:rFonts w:cs="Courier New" w:ascii="Courier New" w:hAnsi="Courier New"/>
          <w:sz w:val="24"/>
        </w:rPr>
        <w:tab/>
        <w:tab/>
        <w:tab/>
        <w:tab/>
        <w:tab/>
        <w:tab/>
        <w:t>By:_____________________________</w:t>
      </w:r>
    </w:p>
    <w:p>
      <w:pPr>
        <w:pStyle w:val="Normal"/>
        <w:spacing w:lineRule="auto" w:line="240"/>
        <w:jc w:val="both"/>
        <w:rPr>
          <w:rFonts w:ascii="Courier New" w:hAnsi="Courier New" w:cs="Courier New"/>
          <w:sz w:val="24"/>
        </w:rPr>
      </w:pPr>
      <w:r>
        <w:rPr>
          <w:rFonts w:cs="Courier New" w:ascii="Courier New" w:hAnsi="Courier New"/>
          <w:sz w:val="24"/>
        </w:rPr>
        <w:tab/>
        <w:tab/>
        <w:tab/>
        <w:tab/>
        <w:tab/>
        <w:tab/>
        <w:tab/>
        <w:t>Joseph A. Eisenberg P.C.</w:t>
      </w:r>
    </w:p>
    <w:p>
      <w:pPr>
        <w:pStyle w:val="Normal"/>
        <w:spacing w:lineRule="auto" w:line="240"/>
        <w:ind w:firstLine="720" w:start="4320" w:end="0"/>
        <w:jc w:val="both"/>
        <w:rPr>
          <w:rFonts w:ascii="Courier New" w:hAnsi="Courier New" w:cs="Courier New"/>
          <w:sz w:val="24"/>
        </w:rPr>
      </w:pPr>
      <w:r>
        <w:rPr>
          <w:rFonts w:cs="Courier New" w:ascii="Courier New" w:hAnsi="Courier New"/>
          <w:sz w:val="24"/>
        </w:rPr>
        <w:t xml:space="preserve">Proposed Attorneys for Debtor </w:t>
      </w:r>
    </w:p>
    <w:p>
      <w:pPr>
        <w:pStyle w:val="Normal"/>
        <w:spacing w:lineRule="auto" w:line="240"/>
        <w:ind w:firstLine="720" w:start="4320" w:end="0"/>
        <w:jc w:val="both"/>
        <w:rPr>
          <w:rFonts w:ascii="Courier New" w:hAnsi="Courier New" w:cs="Courier New"/>
          <w:sz w:val="24"/>
        </w:rPr>
      </w:pPr>
      <w:r>
        <w:rPr>
          <w:rFonts w:cs="Courier New" w:ascii="Courier New" w:hAnsi="Courier New"/>
          <w:sz w:val="24"/>
        </w:rPr>
        <w:t>and Debtor in Possession</w:t>
      </w:r>
    </w:p>
    <w:p>
      <w:pPr>
        <w:pStyle w:val="Normal"/>
        <w:jc w:val="both"/>
        <w:rPr>
          <w:rFonts w:ascii="Courier New" w:hAnsi="Courier New" w:cs="Courier New"/>
          <w:sz w:val="24"/>
        </w:rPr>
      </w:pPr>
      <w:r>
        <w:rPr>
          <w:rFonts w:cs="Courier New" w:ascii="Courier New" w:hAnsi="Courier New"/>
          <w:sz w:val="24"/>
        </w:rPr>
        <w:tab/>
      </w:r>
      <w:r>
        <w:br w:type="page"/>
      </w:r>
    </w:p>
    <w:p>
      <w:pPr>
        <w:pStyle w:val="Normal"/>
        <w:jc w:val="center"/>
        <w:rPr/>
      </w:pPr>
      <w:r>
        <w:rPr>
          <w:rFonts w:cs="Courier New" w:ascii="Courier New" w:hAnsi="Courier New"/>
          <w:b/>
          <w:bCs/>
          <w:sz w:val="24"/>
          <w:u w:val="single"/>
        </w:rPr>
        <w:t>DECLARATION OF LISA G. URICK, ESQ</w:t>
      </w:r>
      <w:r>
        <w:rPr>
          <w:rFonts w:cs="Courier New" w:ascii="Courier New" w:hAnsi="Courier New"/>
          <w:sz w:val="24"/>
        </w:rPr>
        <w:t>.</w:t>
      </w:r>
    </w:p>
    <w:p>
      <w:pPr>
        <w:pStyle w:val="Normal"/>
        <w:jc w:val="both"/>
        <w:rPr>
          <w:rFonts w:ascii="Courier New" w:hAnsi="Courier New" w:cs="Courier New"/>
          <w:sz w:val="24"/>
        </w:rPr>
      </w:pPr>
      <w:r>
        <w:rPr>
          <w:rFonts w:cs="Courier New" w:ascii="Courier New" w:hAnsi="Courier New"/>
          <w:sz w:val="24"/>
        </w:rPr>
        <w:tab/>
        <w:t>I, Lisa G. Urick, Esq., the undersigned, hereby declare as follows:</w:t>
      </w:r>
    </w:p>
    <w:p>
      <w:pPr>
        <w:pStyle w:val="BodyTextIndent"/>
        <w:jc w:val="both"/>
        <w:rPr/>
      </w:pPr>
      <w:r>
        <w:rPr/>
        <w:t>1.</w:t>
        <w:tab/>
        <w:t>I am an attorney admitted to practice before this Court, and am managing attorney for California Power Exchange Corporation ("CalPX"), the debtor and debtor in possession in this bankruptcy proceeding.  I have personal knowledge of the following and, if called as a witness, could and would testify competently thereto.</w:t>
      </w:r>
    </w:p>
    <w:p>
      <w:pPr>
        <w:pStyle w:val="BodyTextIndent"/>
        <w:jc w:val="both"/>
        <w:rPr/>
      </w:pPr>
      <w:r>
        <w:rPr/>
        <w:t>2.</w:t>
        <w:tab/>
        <w:t xml:space="preserve">Attached hereto as Exhibit 1 is a true and correct copy of the Complaint for Declaratory Relief and Preliminary and Permanent Injunction in the action entitled </w:t>
      </w:r>
      <w:r>
        <w:rPr>
          <w:u w:val="single"/>
        </w:rPr>
        <w:t>Enron Power Marketing, Inc., et al. v. California Power Exchange Commission</w:t>
      </w:r>
      <w:r>
        <w:rPr/>
        <w:t>, United States District Court, Central District of California Case No. 01-00901 CM(Rz), filed on or about January 31, 2001 (the “Enron Litigation").  Following the filing of the Enron Litigation, similar complaints were filed in the United States District Court for the Central District of California by a number of other participants in the CalPX's wholesale electricity markets, including Avista Energy, Inc., PacifiCorp, San Diego Gas &amp; Electric Company and Sempra Energy Trading Corp.  At the time of this declaration, at least nine such actions have been filed.  All of these actions that were filed prior to the filing of the CalPX's Chapter 11 petition were related to the Enron Litigation, and were assigned to the judge presiding over the Enron Litigation, the Honorable Carlos Moreno.</w:t>
      </w:r>
    </w:p>
    <w:p>
      <w:pPr>
        <w:pStyle w:val="BodyTextIndent"/>
        <w:jc w:val="both"/>
        <w:rPr/>
      </w:pPr>
      <w:r>
        <w:rPr/>
        <w:t>3.</w:t>
        <w:tab/>
        <w:t xml:space="preserve">Attached hereto as Exhibit 2 is a true and correct copy of the Complaint Requesting Fast Track Processing and Emergency Suspension of California Power Exchange Corporation Default Charge-Back Provision, filed on or about February 8, 2001 before the Federal Energy Regulatory Commission in the proceeding entitled </w:t>
      </w:r>
      <w:r>
        <w:rPr>
          <w:u w:val="single"/>
        </w:rPr>
        <w:t>Coral Power, L.L.C., et al. v. California Power Exchange Corporation</w:t>
      </w:r>
      <w:r>
        <w:rPr/>
        <w:t>, Docket No. El-01-36-000 (the “Coral Power Default Charge-Back Proceeding").</w:t>
      </w:r>
    </w:p>
    <w:p>
      <w:pPr>
        <w:pStyle w:val="Normal"/>
        <w:ind w:firstLine="720" w:end="0"/>
        <w:jc w:val="both"/>
        <w:rPr/>
      </w:pPr>
      <w:r>
        <w:rPr>
          <w:rFonts w:cs="Courier New" w:ascii="Courier New" w:hAnsi="Courier New"/>
          <w:sz w:val="24"/>
        </w:rPr>
        <w:t>4.</w:t>
        <w:tab/>
        <w:t xml:space="preserve">Attached hereto as Exhibit 3 is a true and correct copy of the Complaint requesting Fast Track Processing of the Salt River Project Agricultural Improvement and Power District and the Sacramento Municipal Utility District against the California Power Exchange Corporation, filed on or about February 12, 2001 before the Federal Energy Regulatory Commission in the proceeding entitled </w:t>
      </w:r>
      <w:r>
        <w:rPr>
          <w:rFonts w:cs="Courier New" w:ascii="Courier New" w:hAnsi="Courier New"/>
          <w:sz w:val="24"/>
          <w:u w:val="single"/>
        </w:rPr>
        <w:t>Salt River Project Agricultural Improvement and Power District, et al. v. California Power Exchange Corporation</w:t>
      </w:r>
      <w:r>
        <w:rPr>
          <w:rFonts w:cs="Courier New" w:ascii="Courier New" w:hAnsi="Courier New"/>
          <w:sz w:val="24"/>
        </w:rPr>
        <w:t>, Docket No. EL-01-37-000 (the “Salt River Default Charge-Back Proceeding").</w:t>
      </w:r>
    </w:p>
    <w:p>
      <w:pPr>
        <w:pStyle w:val="Normal"/>
        <w:ind w:firstLine="720" w:end="0"/>
        <w:jc w:val="both"/>
        <w:rPr/>
      </w:pPr>
      <w:r>
        <w:rPr>
          <w:rFonts w:cs="Courier New" w:ascii="Courier New" w:hAnsi="Courier New"/>
          <w:sz w:val="24"/>
        </w:rPr>
        <w:t>5.</w:t>
        <w:tab/>
        <w:t xml:space="preserve">Attached hereto as Exhibit 4 is a true and correct copy of the Complaint Requesting Fast Track Processing of Public Service Company of New Mexico against the California Power Exchange Corporation, filed on or about March 2, 2001 before the Federal Energy Regulatory Commission in the proceeding entitled </w:t>
      </w:r>
      <w:r>
        <w:rPr>
          <w:rFonts w:cs="Courier New" w:ascii="Courier New" w:hAnsi="Courier New"/>
          <w:sz w:val="24"/>
          <w:u w:val="single"/>
        </w:rPr>
        <w:t>Public Service Company of New Mexico v. California Power Exchange Corporation</w:t>
      </w:r>
      <w:r>
        <w:rPr>
          <w:rFonts w:cs="Courier New" w:ascii="Courier New" w:hAnsi="Courier New"/>
          <w:sz w:val="24"/>
        </w:rPr>
        <w:t>, Docket No. EL-01-43-000.</w:t>
      </w:r>
    </w:p>
    <w:p>
      <w:pPr>
        <w:pStyle w:val="BodyTextIndent"/>
        <w:jc w:val="both"/>
        <w:rPr/>
      </w:pPr>
      <w:r>
        <w:rPr/>
        <w:t>6.</w:t>
        <w:tab/>
        <w:t>Attached hereto as Exhibit 5 is a true and correct copy of the California Power Exchange Corporation's Answer to Complaint Requesting Fast Track Processing and Emergency Suspension of California Power Exchange Corporation Default Charge-Back Tariff Provision, filed on or about February 12, 2001 before the Federal Energy Regulatory Commission in the Coral Power Default Charge-Back Proceeding.</w:t>
      </w:r>
    </w:p>
    <w:p>
      <w:pPr>
        <w:pStyle w:val="BodyTextIndent"/>
        <w:jc w:val="both"/>
        <w:rPr/>
      </w:pPr>
      <w:r>
        <w:rPr/>
        <w:t>7.</w:t>
        <w:tab/>
        <w:t>Attached hereto as Exhibit 6 is a true and correct copy of the California Power Exchange Corporation's Answer to Complaints Requesting Fast Track Processing and Emergency Suspension of California Power Exchange Corporation Default Charge-Back Tariff Provision, filed on or about February 28, 2001 in the Coral Power Default Charge-Back Proceeding and the Salt River Default Charge-Back Proceeding.</w:t>
      </w:r>
    </w:p>
    <w:p>
      <w:pPr>
        <w:pStyle w:val="BodyTextIndent"/>
        <w:jc w:val="both"/>
        <w:rPr/>
      </w:pPr>
      <w:r>
        <w:rPr/>
        <w:t>8.</w:t>
        <w:tab/>
        <w:t>Attached hereto as Exhibit 7 is a true and correct copy of the Preliminary Injunction entered in the Enron Litigation and related cases on or about March 5, 2001.</w:t>
      </w:r>
    </w:p>
    <w:p>
      <w:pPr>
        <w:pStyle w:val="BodyTextIndent"/>
        <w:jc w:val="both"/>
        <w:rPr/>
      </w:pPr>
      <w:r>
        <w:rPr/>
        <w:t>I declare under penalty of perjury that the foregoing is true and correct and that this declaration is executed this ___ day of March, 2001, at Pasadena, California.</w:t>
      </w:r>
    </w:p>
    <w:p>
      <w:pPr>
        <w:pStyle w:val="Normal"/>
        <w:jc w:val="both"/>
        <w:rPr>
          <w:rFonts w:ascii="Courier New" w:hAnsi="Courier New" w:cs="Courier New"/>
          <w:sz w:val="24"/>
        </w:rPr>
      </w:pPr>
      <w:r>
        <w:rPr>
          <w:rFonts w:cs="Courier New" w:ascii="Courier New" w:hAnsi="Courier New"/>
          <w:sz w:val="24"/>
        </w:rPr>
      </w:r>
    </w:p>
    <w:p>
      <w:pPr>
        <w:pStyle w:val="Normal"/>
        <w:spacing w:lineRule="auto" w:line="240"/>
        <w:ind w:firstLine="3600" w:end="0"/>
        <w:jc w:val="both"/>
        <w:rPr/>
      </w:pPr>
      <w:r>
        <w:rPr>
          <w:rFonts w:cs="Courier New" w:ascii="Courier New" w:hAnsi="Courier New"/>
          <w:sz w:val="24"/>
        </w:rPr>
        <w:tab/>
      </w:r>
      <w:r>
        <w:rPr>
          <w:rFonts w:cs="Courier New" w:ascii="Courier New" w:hAnsi="Courier New"/>
          <w:sz w:val="24"/>
          <w:lang w:val="fr-FR"/>
        </w:rPr>
        <w:t>______________________________</w:t>
      </w:r>
    </w:p>
    <w:p>
      <w:pPr>
        <w:pStyle w:val="Heading4"/>
        <w:rPr>
          <w:lang w:val="fr-FR"/>
        </w:rPr>
      </w:pPr>
      <w:r>
        <w:rPr>
          <w:lang w:val="fr-FR"/>
        </w:rPr>
        <w:tab/>
        <w:t>LISA G. URICK, ESQ</w:t>
      </w:r>
    </w:p>
    <w:sectPr>
      <w:headerReference w:type="default" r:id="rId2"/>
      <w:footerReference w:type="default" r:id="rId3"/>
      <w:footnotePr>
        <w:numFmt w:val="decimal"/>
      </w:footnotePr>
      <w:type w:val="nextPage"/>
      <w:pgSz w:w="12240" w:h="15840"/>
      <w:pgMar w:left="2160" w:right="720" w:gutter="0" w:header="432" w:top="1152" w:footer="36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rPr/>
    </w:pPr>
    <w:r>
      <w:rPr/>
      <w:t>2674207 v1</w:t>
    </w:r>
    <w:r>
      <w:rPr>
        <w:sz w:val="24"/>
      </w:rPr>
      <w:tab/>
      <w:t>-</w:t>
    </w:r>
    <w:r>
      <w:rPr>
        <w:sz w:val="24"/>
      </w:rPr>
      <w:fldChar w:fldCharType="begin"/>
    </w:r>
    <w:r>
      <w:rPr>
        <w:sz w:val="24"/>
      </w:rPr>
      <w:instrText xml:space="preserve"> PAGE </w:instrText>
    </w:r>
    <w:r>
      <w:rPr>
        <w:sz w:val="24"/>
      </w:rPr>
      <w:fldChar w:fldCharType="separate"/>
    </w:r>
    <w:r>
      <w:rPr>
        <w:sz w:val="24"/>
      </w:rPr>
      <w:t>26</w:t>
    </w:r>
    <w:r>
      <w:rPr>
        <w:sz w:val="24"/>
      </w:rPr>
      <w:fldChar w:fldCharType="end"/>
    </w:r>
    <w:r>
      <w:rPr>
        <w:sz w:val="24"/>
      </w:rPr>
      <w:t>-</w:t>
    </w:r>
    <w:r>
      <mc:AlternateContent>
        <mc:Choice Requires="wps">
          <w:drawing>
            <wp:anchor behindDoc="1" distT="0" distB="0" distL="114935" distR="114935" simplePos="0" locked="0" layoutInCell="1" allowOverlap="1" relativeHeight="131">
              <wp:simplePos x="0" y="0"/>
              <wp:positionH relativeFrom="column">
                <wp:posOffset>-1188720</wp:posOffset>
              </wp:positionH>
              <wp:positionV relativeFrom="paragraph">
                <wp:posOffset>-69215</wp:posOffset>
              </wp:positionV>
              <wp:extent cx="914400" cy="457200"/>
              <wp:effectExtent l="0" t="0" r="0" b="0"/>
              <wp:wrapNone/>
              <wp:docPr id="5" name="Frame1"/>
              <a:graphic xmlns:a="http://schemas.openxmlformats.org/drawingml/2006/main">
                <a:graphicData uri="http://schemas.microsoft.com/office/word/2010/wordprocessingShape">
                  <wps:wsp>
                    <wps:cNvSpPr txBox="1"/>
                    <wps:spPr>
                      <a:xfrm>
                        <a:off x="0" y="0"/>
                        <a:ext cx="914400" cy="457200"/>
                      </a:xfrm>
                      <a:prstGeom prst="rect"/>
                      <a:solidFill>
                        <a:srgbClr val="FFFFFF"/>
                      </a:solidFill>
                    </wps:spPr>
                    <wps:txbx>
                      <w:txbxContent>
                        <w:p>
                          <w:pPr>
                            <w:pStyle w:val="BodyText"/>
                            <w:rPr>
                              <w:sz w:val="13"/>
                            </w:rPr>
                          </w:pPr>
                          <w:r>
                            <w:rPr>
                              <w:sz w:val="13"/>
                            </w:rPr>
                            <w:t>PRINTED ON RECYCLED PAPER</w:t>
                          </w:r>
                        </w:p>
                      </w:txbxContent>
                    </wps:txbx>
                    <wps:bodyPr anchor="t" lIns="92075" tIns="46355" rIns="92075" bIns="46355">
                      <a:noAutofit/>
                    </wps:bodyPr>
                  </wps:wsp>
                </a:graphicData>
              </a:graphic>
            </wp:anchor>
          </w:drawing>
        </mc:Choice>
        <mc:Fallback>
          <w:pict>
            <v:rect fillcolor="#FFFFFF" style="position:absolute;rotation:-0;width:72pt;height:36pt;mso-wrap-distance-left:9.05pt;mso-wrap-distance-right:9.05pt;mso-wrap-distance-top:0pt;mso-wrap-distance-bottom:0pt;margin-top:-5.45pt;mso-position-vertical-relative:text;margin-left:-93.6pt;mso-position-horizontal-relative:text">
              <v:textbox inset="0.100694444444444in,0.0506944444444444in,0.100694444444444in,0.0506944444444444in">
                <w:txbxContent>
                  <w:p>
                    <w:pPr>
                      <w:pStyle w:val="BodyText"/>
                      <w:rPr>
                        <w:sz w:val="13"/>
                      </w:rPr>
                    </w:pPr>
                    <w:r>
                      <w:rPr>
                        <w:sz w:val="13"/>
                      </w:rPr>
                      <w:t>PRINTED ON RECYCLED PAPER</w:t>
                    </w:r>
                  </w:p>
                </w:txbxContent>
              </v:textbox>
              <w10:wrap type="none"/>
            </v:rect>
          </w:pict>
        </mc:Fallback>
      </mc:AlternateContent>
    </w:r>
  </w:p>
  <w:p>
    <w:pPr>
      <w:pStyle w:val="Footer"/>
      <w:tabs>
        <w:tab w:val="clear" w:pos="4320"/>
        <w:tab w:val="clear" w:pos="8640"/>
        <w:tab w:val="left" w:pos="4752" w:leader="none"/>
        <w:tab w:val="right" w:pos="9360" w:leader="underscore"/>
      </w:tabs>
      <w:spacing w:lineRule="auto" w:line="240"/>
      <w:ind w:start="4770" w:end="0"/>
      <w:rPr/>
    </w:pPr>
    <w:r>
      <w:rPr/>
      <w:tab/>
    </w:r>
  </w:p>
  <w:p>
    <w:pPr>
      <w:pStyle w:val="Footer"/>
      <w:tabs>
        <w:tab w:val="clear" w:pos="4320"/>
        <w:tab w:val="clear" w:pos="8640"/>
        <w:tab w:val="right" w:pos="9360" w:leader="none"/>
      </w:tabs>
      <w:spacing w:lineRule="auto" w:line="240"/>
      <w:ind w:start="4860" w:end="0"/>
      <w:rPr>
        <w:sz w:val="20"/>
      </w:rPr>
    </w:pPr>
    <w:r>
      <w:rPr>
        <w:sz w:val="20"/>
      </w:rPr>
      <w:t>Motion for Order Modifying Automatic Stay</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Courier New" w:ascii="Courier New" w:hAnsi="Courier New"/>
          <w:sz w:val="24"/>
        </w:rPr>
        <w:t xml:space="preserve"> </w:t>
      </w:r>
      <w:r>
        <w:rPr>
          <w:rFonts w:cs="Courier New" w:ascii="Courier New" w:hAnsi="Courier New"/>
          <w:sz w:val="24"/>
        </w:rPr>
        <w:t>Notwithstanding the termination of the CalPX trading and scheduling functions, the CalPX continues to perform the settlement and clearing functions described above and will reconcile in excess of $2 billion currently billed and outstanding due from and to the ISO and Participants who sold and purchased power through the CalPX wholesale electricity markets.  There are still billings to be completed for trading and scheduling services applicable</w:t>
      </w:r>
      <w:r>
        <w:rPr>
          <w:rFonts w:cs="Courier New" w:ascii="Courier New" w:hAnsi="Courier New"/>
        </w:rPr>
        <w:t xml:space="preserve"> </w:t>
      </w:r>
      <w:r>
        <w:rPr>
          <w:rFonts w:cs="Courier New" w:ascii="Courier New" w:hAnsi="Courier New"/>
          <w:sz w:val="24"/>
        </w:rPr>
        <w:t>to January and February, 2001 that the CalPX needs to complete.  In addition, the CalPX is custodian of collateral and cash accounts for its Participants.</w:t>
      </w:r>
    </w:p>
  </w:footnote>
  <w:footnote w:id="3">
    <w:p>
      <w:pPr>
        <w:pStyle w:val="FootnoteText"/>
        <w:rPr/>
      </w:pPr>
      <w:r>
        <w:rPr>
          <w:rStyle w:val="FootnoteCharacters"/>
        </w:rPr>
        <w:footnoteRef/>
      </w:r>
      <w:r>
        <w:rPr>
          <w:rFonts w:cs="Courier New"/>
          <w:sz w:val="24"/>
        </w:rPr>
        <w:t xml:space="preserve"> </w:t>
      </w:r>
      <w:r>
        <w:rPr>
          <w:rFonts w:cs="Courier New"/>
          <w:sz w:val="24"/>
        </w:rPr>
        <w:t>Specifically, the CalPX answered the Coral Power complaint’s request for fast-track processing -- by agreeing that the matter should be expedited -- on February 12, 2001.  Urick Decl. Exh. 5.  The CalPX answered the substantive allegations of the complaints in the Coral Power and Salt River Default Charge-Back</w:t>
      </w:r>
      <w:r>
        <w:rPr>
          <w:rFonts w:cs="Courier New" w:ascii="Courier New" w:hAnsi="Courier New"/>
          <w:sz w:val="24"/>
        </w:rPr>
        <w:t xml:space="preserve"> Proceedings (and asked that they be consolidated) on February 28, 2001.  Urick Decl. Exh. 6.</w:t>
      </w:r>
    </w:p>
  </w:footnote>
  <w:footnote w:id="4">
    <w:p>
      <w:pPr>
        <w:pStyle w:val="FootnoteText"/>
        <w:rPr/>
      </w:pPr>
      <w:r>
        <w:rPr>
          <w:rStyle w:val="FootnoteCharacters"/>
        </w:rPr>
        <w:footnoteRef/>
      </w:r>
      <w:r>
        <w:rPr/>
        <w:t xml:space="preserve"> </w:t>
      </w:r>
      <w:r>
        <w:rPr>
          <w:sz w:val="24"/>
        </w:rPr>
        <w:t>Copies of materials cited in this form are contained in the Appendix of FERC Authorities filed with the Court and are available to the parties on LEXIS.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0" allowOverlap="1" relativeHeight="53">
              <wp:simplePos x="0" y="0"/>
              <wp:positionH relativeFrom="margin">
                <wp:posOffset>-173990</wp:posOffset>
              </wp:positionH>
              <wp:positionV relativeFrom="page">
                <wp:posOffset>228600</wp:posOffset>
              </wp:positionV>
              <wp:extent cx="0" cy="9601200"/>
              <wp:effectExtent l="5080" t="0" r="5080" b="0"/>
              <wp:wrapNone/>
              <wp:docPr id="1" name="LeftBorder1"/>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7pt,18pt" to="-13.7pt,773.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79">
              <wp:simplePos x="0" y="0"/>
              <wp:positionH relativeFrom="margin">
                <wp:posOffset>-210185</wp:posOffset>
              </wp:positionH>
              <wp:positionV relativeFrom="page">
                <wp:posOffset>228600</wp:posOffset>
              </wp:positionV>
              <wp:extent cx="0" cy="9601200"/>
              <wp:effectExtent l="5080" t="0" r="5080" b="0"/>
              <wp:wrapNone/>
              <wp:docPr id="2" name="LeftBorder2"/>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5pt,18pt" to="-16.55pt,773.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05">
              <wp:simplePos x="0" y="0"/>
              <wp:positionH relativeFrom="margin">
                <wp:posOffset>6035040</wp:posOffset>
              </wp:positionH>
              <wp:positionV relativeFrom="page">
                <wp:posOffset>228600</wp:posOffset>
              </wp:positionV>
              <wp:extent cx="0" cy="9601200"/>
              <wp:effectExtent l="5080" t="0" r="5080" b="0"/>
              <wp:wrapNone/>
              <wp:docPr id="3" name="RightBorder"/>
              <a:graphic xmlns:a="http://schemas.openxmlformats.org/drawingml/2006/main">
                <a:graphicData uri="http://schemas.microsoft.com/office/word/2010/wordprocessingShape">
                  <wps:wsp>
                    <wps:cNvSpPr/>
                    <wps:spPr>
                      <a:xfrm>
                        <a:off x="0" y="0"/>
                        <a:ext cx="0" cy="960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75.2pt,18pt" to="475.2pt,773.95pt" ID="RightBorder" stroked="t" o:allowincell="f" style="position:absolute;mso-position-horizontal-relative:margin;mso-position-vertical-relative:page">
              <v:stroke color="black" weight="9360" joinstyle="miter" endcap="flat"/>
              <v:fill o:detectmouseclick="t" on="false"/>
              <w10:wrap type="none"/>
            </v:line>
          </w:pict>
        </mc:Fallback>
      </mc:AlternateContent>
    </w:r>
    <w:r>
      <mc:AlternateContent>
        <mc:Choice Requires="wps">
          <w:drawing>
            <wp:anchor behindDoc="1" distT="0" distB="0" distL="114935" distR="114935" simplePos="0" locked="0" layoutInCell="0" allowOverlap="1" relativeHeight="27">
              <wp:simplePos x="0" y="0"/>
              <wp:positionH relativeFrom="page">
                <wp:posOffset>548640</wp:posOffset>
              </wp:positionH>
              <wp:positionV relativeFrom="page">
                <wp:posOffset>713105</wp:posOffset>
              </wp:positionV>
              <wp:extent cx="457200" cy="8458200"/>
              <wp:effectExtent l="0" t="0" r="0" b="0"/>
              <wp:wrapTight wrapText="bothSides">
                <wp:wrapPolygon edited="0">
                  <wp:start x="0" y="0"/>
                  <wp:lineTo x="21600" y="0"/>
                  <wp:lineTo x="21600" y="21600"/>
                  <wp:lineTo x="0" y="21600"/>
                  <wp:lineTo x="0" y="0"/>
                </wp:wrapPolygon>
              </wp:wrapTight>
              <wp:docPr id="4" name="Frame2"/>
              <a:graphic xmlns:a="http://schemas.openxmlformats.org/drawingml/2006/main">
                <a:graphicData uri="http://schemas.microsoft.com/office/word/2010/wordprocessingShape">
                  <wps:wsp>
                    <wps:cNvSpPr txBox="1"/>
                    <wps:spPr>
                      <a:xfrm>
                        <a:off x="0" y="0"/>
                        <a:ext cx="457200" cy="8458200"/>
                      </a:xfrm>
                      <a:prstGeom prst="rect"/>
                      <a:solidFill>
                        <a:srgbClr val="FFFFFF"/>
                      </a:solidFill>
                    </wps:spPr>
                    <wps:txbx>
                      <w:txbxContent>
                        <w:p>
                          <w:pPr>
                            <w:pStyle w:val="Normal"/>
                            <w:jc w:val="end"/>
                            <w:rPr>
                              <w:rFonts w:ascii="CG Times" w:hAnsi="CG Times" w:cs="CG Times"/>
                              <w:sz w:val="24"/>
                            </w:rPr>
                          </w:pPr>
                          <w:r>
                            <w:rPr>
                              <w:rFonts w:cs="CG Times" w:ascii="CG Times" w:hAnsi="CG Times"/>
                              <w:sz w:val="24"/>
                            </w:rPr>
                            <w:t>1</w:t>
                          </w:r>
                        </w:p>
                        <w:p>
                          <w:pPr>
                            <w:pStyle w:val="Normal"/>
                            <w:jc w:val="end"/>
                            <w:rPr>
                              <w:rFonts w:ascii="CG Times" w:hAnsi="CG Times" w:cs="CG Times"/>
                              <w:sz w:val="24"/>
                            </w:rPr>
                          </w:pPr>
                          <w:r>
                            <w:rPr>
                              <w:rFonts w:cs="CG Times" w:ascii="CG Times" w:hAnsi="CG Times"/>
                              <w:sz w:val="24"/>
                            </w:rPr>
                            <w:t>2</w:t>
                          </w:r>
                        </w:p>
                        <w:p>
                          <w:pPr>
                            <w:pStyle w:val="Normal"/>
                            <w:jc w:val="end"/>
                            <w:rPr>
                              <w:rFonts w:ascii="CG Times" w:hAnsi="CG Times" w:cs="CG Times"/>
                              <w:sz w:val="24"/>
                            </w:rPr>
                          </w:pPr>
                          <w:r>
                            <w:rPr>
                              <w:rFonts w:cs="CG Times" w:ascii="CG Times" w:hAnsi="CG Times"/>
                              <w:sz w:val="24"/>
                            </w:rPr>
                            <w:t>3</w:t>
                          </w:r>
                        </w:p>
                        <w:p>
                          <w:pPr>
                            <w:pStyle w:val="Normal"/>
                            <w:jc w:val="end"/>
                            <w:rPr>
                              <w:rFonts w:ascii="CG Times" w:hAnsi="CG Times" w:cs="CG Times"/>
                              <w:sz w:val="24"/>
                            </w:rPr>
                          </w:pPr>
                          <w:r>
                            <w:rPr>
                              <w:rFonts w:cs="CG Times" w:ascii="CG Times" w:hAnsi="CG Times"/>
                              <w:sz w:val="24"/>
                            </w:rPr>
                            <w:t>4</w:t>
                          </w:r>
                        </w:p>
                        <w:p>
                          <w:pPr>
                            <w:pStyle w:val="Normal"/>
                            <w:jc w:val="end"/>
                            <w:rPr>
                              <w:rFonts w:ascii="CG Times" w:hAnsi="CG Times" w:cs="CG Times"/>
                              <w:sz w:val="24"/>
                            </w:rPr>
                          </w:pPr>
                          <w:r>
                            <w:rPr>
                              <w:rFonts w:cs="CG Times" w:ascii="CG Times" w:hAnsi="CG Times"/>
                              <w:sz w:val="24"/>
                            </w:rPr>
                            <w:t>5</w:t>
                          </w:r>
                        </w:p>
                        <w:p>
                          <w:pPr>
                            <w:pStyle w:val="Normal"/>
                            <w:jc w:val="end"/>
                            <w:rPr>
                              <w:rFonts w:ascii="CG Times" w:hAnsi="CG Times" w:cs="CG Times"/>
                              <w:sz w:val="24"/>
                            </w:rPr>
                          </w:pPr>
                          <w:r>
                            <w:rPr>
                              <w:rFonts w:cs="CG Times" w:ascii="CG Times" w:hAnsi="CG Times"/>
                              <w:sz w:val="24"/>
                            </w:rPr>
                            <w:t>6</w:t>
                          </w:r>
                        </w:p>
                        <w:p>
                          <w:pPr>
                            <w:pStyle w:val="Normal"/>
                            <w:jc w:val="end"/>
                            <w:rPr>
                              <w:rFonts w:ascii="CG Times" w:hAnsi="CG Times" w:cs="CG Times"/>
                              <w:sz w:val="24"/>
                            </w:rPr>
                          </w:pPr>
                          <w:r>
                            <w:rPr>
                              <w:rFonts w:cs="CG Times" w:ascii="CG Times" w:hAnsi="CG Times"/>
                              <w:sz w:val="24"/>
                            </w:rPr>
                            <w:t>7</w:t>
                          </w:r>
                        </w:p>
                        <w:p>
                          <w:pPr>
                            <w:pStyle w:val="Normal"/>
                            <w:jc w:val="end"/>
                            <w:rPr>
                              <w:rFonts w:ascii="CG Times" w:hAnsi="CG Times" w:cs="CG Times"/>
                              <w:sz w:val="24"/>
                            </w:rPr>
                          </w:pPr>
                          <w:r>
                            <w:rPr>
                              <w:rFonts w:cs="CG Times" w:ascii="CG Times" w:hAnsi="CG Times"/>
                              <w:sz w:val="24"/>
                            </w:rPr>
                            <w:t>8</w:t>
                          </w:r>
                        </w:p>
                        <w:p>
                          <w:pPr>
                            <w:pStyle w:val="Normal"/>
                            <w:jc w:val="end"/>
                            <w:rPr>
                              <w:rFonts w:ascii="CG Times" w:hAnsi="CG Times" w:cs="CG Times"/>
                              <w:sz w:val="24"/>
                            </w:rPr>
                          </w:pPr>
                          <w:r>
                            <w:rPr>
                              <w:rFonts w:cs="CG Times" w:ascii="CG Times" w:hAnsi="CG Times"/>
                              <w:sz w:val="24"/>
                            </w:rPr>
                            <w:t>9</w:t>
                          </w:r>
                        </w:p>
                        <w:p>
                          <w:pPr>
                            <w:pStyle w:val="Normal"/>
                            <w:jc w:val="end"/>
                            <w:rPr>
                              <w:rFonts w:ascii="CG Times" w:hAnsi="CG Times" w:cs="CG Times"/>
                              <w:sz w:val="24"/>
                            </w:rPr>
                          </w:pPr>
                          <w:r>
                            <w:rPr>
                              <w:rFonts w:cs="CG Times" w:ascii="CG Times" w:hAnsi="CG Times"/>
                              <w:sz w:val="24"/>
                            </w:rPr>
                            <w:t>10</w:t>
                          </w:r>
                        </w:p>
                        <w:p>
                          <w:pPr>
                            <w:pStyle w:val="Normal"/>
                            <w:jc w:val="end"/>
                            <w:rPr>
                              <w:rFonts w:ascii="CG Times" w:hAnsi="CG Times" w:cs="CG Times"/>
                              <w:sz w:val="24"/>
                            </w:rPr>
                          </w:pPr>
                          <w:r>
                            <w:rPr>
                              <w:rFonts w:cs="CG Times" w:ascii="CG Times" w:hAnsi="CG Times"/>
                              <w:sz w:val="24"/>
                            </w:rPr>
                            <w:t>11</w:t>
                          </w:r>
                        </w:p>
                        <w:p>
                          <w:pPr>
                            <w:pStyle w:val="Normal"/>
                            <w:jc w:val="end"/>
                            <w:rPr>
                              <w:rFonts w:ascii="CG Times" w:hAnsi="CG Times" w:cs="CG Times"/>
                              <w:sz w:val="24"/>
                            </w:rPr>
                          </w:pPr>
                          <w:r>
                            <w:rPr>
                              <w:rFonts w:cs="CG Times" w:ascii="CG Times" w:hAnsi="CG Times"/>
                              <w:sz w:val="24"/>
                            </w:rPr>
                            <w:t>12</w:t>
                          </w:r>
                        </w:p>
                        <w:p>
                          <w:pPr>
                            <w:pStyle w:val="Normal"/>
                            <w:jc w:val="end"/>
                            <w:rPr>
                              <w:rFonts w:ascii="CG Times" w:hAnsi="CG Times" w:cs="CG Times"/>
                              <w:sz w:val="24"/>
                            </w:rPr>
                          </w:pPr>
                          <w:r>
                            <w:rPr>
                              <w:rFonts w:cs="CG Times" w:ascii="CG Times" w:hAnsi="CG Times"/>
                              <w:sz w:val="24"/>
                            </w:rPr>
                            <w:t>13</w:t>
                          </w:r>
                        </w:p>
                        <w:p>
                          <w:pPr>
                            <w:pStyle w:val="Normal"/>
                            <w:jc w:val="end"/>
                            <w:rPr>
                              <w:rFonts w:ascii="CG Times" w:hAnsi="CG Times" w:cs="CG Times"/>
                              <w:sz w:val="24"/>
                            </w:rPr>
                          </w:pPr>
                          <w:r>
                            <w:rPr>
                              <w:rFonts w:cs="CG Times" w:ascii="CG Times" w:hAnsi="CG Times"/>
                              <w:sz w:val="24"/>
                            </w:rPr>
                            <w:t>14</w:t>
                          </w:r>
                        </w:p>
                        <w:p>
                          <w:pPr>
                            <w:pStyle w:val="Normal"/>
                            <w:jc w:val="end"/>
                            <w:rPr>
                              <w:rFonts w:ascii="CG Times" w:hAnsi="CG Times" w:cs="CG Times"/>
                              <w:sz w:val="24"/>
                            </w:rPr>
                          </w:pPr>
                          <w:r>
                            <w:rPr>
                              <w:rFonts w:cs="CG Times" w:ascii="CG Times" w:hAnsi="CG Times"/>
                              <w:sz w:val="24"/>
                            </w:rPr>
                            <w:t>15</w:t>
                          </w:r>
                        </w:p>
                        <w:p>
                          <w:pPr>
                            <w:pStyle w:val="Normal"/>
                            <w:jc w:val="end"/>
                            <w:rPr>
                              <w:rFonts w:ascii="CG Times" w:hAnsi="CG Times" w:cs="CG Times"/>
                              <w:sz w:val="24"/>
                            </w:rPr>
                          </w:pPr>
                          <w:r>
                            <w:rPr>
                              <w:rFonts w:cs="CG Times" w:ascii="CG Times" w:hAnsi="CG Times"/>
                              <w:sz w:val="24"/>
                            </w:rPr>
                            <w:t>16</w:t>
                          </w:r>
                        </w:p>
                        <w:p>
                          <w:pPr>
                            <w:pStyle w:val="Normal"/>
                            <w:jc w:val="end"/>
                            <w:rPr>
                              <w:rFonts w:ascii="CG Times" w:hAnsi="CG Times" w:cs="CG Times"/>
                              <w:sz w:val="24"/>
                            </w:rPr>
                          </w:pPr>
                          <w:r>
                            <w:rPr>
                              <w:rFonts w:cs="CG Times" w:ascii="CG Times" w:hAnsi="CG Times"/>
                              <w:sz w:val="24"/>
                            </w:rPr>
                            <w:t>17</w:t>
                          </w:r>
                        </w:p>
                        <w:p>
                          <w:pPr>
                            <w:pStyle w:val="Normal"/>
                            <w:jc w:val="end"/>
                            <w:rPr>
                              <w:rFonts w:ascii="CG Times" w:hAnsi="CG Times" w:cs="CG Times"/>
                              <w:sz w:val="24"/>
                            </w:rPr>
                          </w:pPr>
                          <w:r>
                            <w:rPr>
                              <w:rFonts w:cs="CG Times" w:ascii="CG Times" w:hAnsi="CG Times"/>
                              <w:sz w:val="24"/>
                            </w:rPr>
                            <w:t>18</w:t>
                          </w:r>
                        </w:p>
                        <w:p>
                          <w:pPr>
                            <w:pStyle w:val="Normal"/>
                            <w:jc w:val="end"/>
                            <w:rPr>
                              <w:rFonts w:ascii="CG Times" w:hAnsi="CG Times" w:cs="CG Times"/>
                              <w:sz w:val="24"/>
                            </w:rPr>
                          </w:pPr>
                          <w:r>
                            <w:rPr>
                              <w:rFonts w:cs="CG Times" w:ascii="CG Times" w:hAnsi="CG Times"/>
                              <w:sz w:val="24"/>
                            </w:rPr>
                            <w:t>19</w:t>
                          </w:r>
                        </w:p>
                        <w:p>
                          <w:pPr>
                            <w:pStyle w:val="Normal"/>
                            <w:jc w:val="end"/>
                            <w:rPr>
                              <w:rFonts w:ascii="CG Times" w:hAnsi="CG Times" w:cs="CG Times"/>
                              <w:sz w:val="24"/>
                            </w:rPr>
                          </w:pPr>
                          <w:r>
                            <w:rPr>
                              <w:rFonts w:cs="CG Times" w:ascii="CG Times" w:hAnsi="CG Times"/>
                              <w:sz w:val="24"/>
                            </w:rPr>
                            <w:t>20</w:t>
                          </w:r>
                        </w:p>
                        <w:p>
                          <w:pPr>
                            <w:pStyle w:val="Normal"/>
                            <w:jc w:val="end"/>
                            <w:rPr>
                              <w:rFonts w:ascii="CG Times" w:hAnsi="CG Times" w:cs="CG Times"/>
                              <w:sz w:val="24"/>
                            </w:rPr>
                          </w:pPr>
                          <w:r>
                            <w:rPr>
                              <w:rFonts w:cs="CG Times" w:ascii="CG Times" w:hAnsi="CG Times"/>
                              <w:sz w:val="24"/>
                            </w:rPr>
                            <w:t>21</w:t>
                          </w:r>
                        </w:p>
                        <w:p>
                          <w:pPr>
                            <w:pStyle w:val="Normal"/>
                            <w:jc w:val="end"/>
                            <w:rPr>
                              <w:rFonts w:ascii="CG Times" w:hAnsi="CG Times" w:cs="CG Times"/>
                              <w:sz w:val="24"/>
                            </w:rPr>
                          </w:pPr>
                          <w:r>
                            <w:rPr>
                              <w:rFonts w:cs="CG Times" w:ascii="CG Times" w:hAnsi="CG Times"/>
                              <w:sz w:val="24"/>
                            </w:rPr>
                            <w:t>22</w:t>
                          </w:r>
                        </w:p>
                        <w:p>
                          <w:pPr>
                            <w:pStyle w:val="Normal"/>
                            <w:jc w:val="end"/>
                            <w:rPr>
                              <w:rFonts w:ascii="CG Times" w:hAnsi="CG Times" w:cs="CG Times"/>
                              <w:sz w:val="24"/>
                            </w:rPr>
                          </w:pPr>
                          <w:r>
                            <w:rPr>
                              <w:rFonts w:cs="CG Times" w:ascii="CG Times" w:hAnsi="CG Times"/>
                              <w:sz w:val="24"/>
                            </w:rPr>
                            <w:t>23</w:t>
                          </w:r>
                        </w:p>
                        <w:p>
                          <w:pPr>
                            <w:pStyle w:val="Normal"/>
                            <w:jc w:val="end"/>
                            <w:rPr>
                              <w:rFonts w:ascii="CG Times" w:hAnsi="CG Times" w:cs="CG Times"/>
                              <w:sz w:val="24"/>
                            </w:rPr>
                          </w:pPr>
                          <w:r>
                            <w:rPr>
                              <w:rFonts w:cs="CG Times" w:ascii="CG Times" w:hAnsi="CG Times"/>
                              <w:sz w:val="24"/>
                            </w:rPr>
                            <w:t>24</w:t>
                          </w:r>
                        </w:p>
                        <w:p>
                          <w:pPr>
                            <w:pStyle w:val="Normal"/>
                            <w:jc w:val="end"/>
                            <w:rPr>
                              <w:rFonts w:ascii="CG Times" w:hAnsi="CG Times" w:cs="CG Times"/>
                              <w:sz w:val="24"/>
                            </w:rPr>
                          </w:pPr>
                          <w:r>
                            <w:rPr>
                              <w:rFonts w:cs="CG Times" w:ascii="CG Times" w:hAnsi="CG Times"/>
                              <w:sz w:val="24"/>
                            </w:rPr>
                            <w:t>25</w:t>
                          </w:r>
                        </w:p>
                        <w:p>
                          <w:pPr>
                            <w:pStyle w:val="Normal"/>
                            <w:jc w:val="end"/>
                            <w:rPr>
                              <w:rFonts w:ascii="CG Times" w:hAnsi="CG Times" w:cs="CG Times"/>
                              <w:sz w:val="24"/>
                            </w:rPr>
                          </w:pPr>
                          <w:r>
                            <w:rPr>
                              <w:rFonts w:cs="CG Times" w:ascii="CG Times" w:hAnsi="CG Times"/>
                              <w:sz w:val="24"/>
                            </w:rPr>
                            <w:t>26</w:t>
                          </w:r>
                        </w:p>
                        <w:p>
                          <w:pPr>
                            <w:pStyle w:val="Normal"/>
                            <w:jc w:val="end"/>
                            <w:rPr>
                              <w:rFonts w:ascii="CG Times" w:hAnsi="CG Times" w:cs="CG Times"/>
                              <w:sz w:val="24"/>
                            </w:rPr>
                          </w:pPr>
                          <w:r>
                            <w:rPr>
                              <w:rFonts w:cs="CG Times" w:ascii="CG Times" w:hAnsi="CG Times"/>
                              <w:sz w:val="24"/>
                            </w:rPr>
                            <w:t>27</w:t>
                          </w:r>
                        </w:p>
                        <w:p>
                          <w:pPr>
                            <w:pStyle w:val="Normal"/>
                            <w:jc w:val="end"/>
                            <w:rPr>
                              <w:rFonts w:ascii="CG Times" w:hAnsi="CG Times" w:cs="CG Times"/>
                              <w:sz w:val="24"/>
                            </w:rPr>
                          </w:pPr>
                          <w:r>
                            <w:rPr>
                              <w:rFonts w:cs="CG Times" w:ascii="CG Times" w:hAnsi="CG Times"/>
                              <w:sz w:val="24"/>
                            </w:rPr>
                            <w:t>28</w:t>
                          </w:r>
                        </w:p>
                        <w:p>
                          <w:pPr>
                            <w:pStyle w:val="Normal"/>
                            <w:jc w:val="end"/>
                            <w:rPr>
                              <w:rFonts w:ascii="CG Times" w:hAnsi="CG Times" w:cs="CG Times"/>
                              <w:sz w:val="24"/>
                            </w:rPr>
                          </w:pPr>
                          <w:r>
                            <w:rPr>
                              <w:rFonts w:cs="CG Times" w:ascii="CG Times" w:hAnsi="CG Times"/>
                              <w:sz w:val="24"/>
                            </w:rPr>
                          </w:r>
                        </w:p>
                      </w:txbxContent>
                    </wps:txbx>
                    <wps:bodyPr anchor="t" lIns="635" tIns="635" rIns="635" bIns="635">
                      <a:noAutofit/>
                    </wps:bodyPr>
                  </wps:wsp>
                </a:graphicData>
              </a:graphic>
            </wp:anchor>
          </w:drawing>
        </mc:Choice>
        <mc:Fallback>
          <w:pict>
            <v:rect fillcolor="#FFFFFF" style="position:absolute;rotation:-0;width:36pt;height:666pt;mso-wrap-distance-left:9.05pt;mso-wrap-distance-right:9.05pt;mso-wrap-distance-top:0pt;mso-wrap-distance-bottom:0pt;margin-top:56.15pt;mso-position-vertical-relative:page;margin-left:43.2pt;mso-position-horizontal-relative:page">
              <v:textbox inset="0.000694444444444445in,0.000694444444444445in,0.000694444444444445in,0.000694444444444445in">
                <w:txbxContent>
                  <w:p>
                    <w:pPr>
                      <w:pStyle w:val="Normal"/>
                      <w:jc w:val="end"/>
                      <w:rPr>
                        <w:rFonts w:ascii="CG Times" w:hAnsi="CG Times" w:cs="CG Times"/>
                        <w:sz w:val="24"/>
                      </w:rPr>
                    </w:pPr>
                    <w:r>
                      <w:rPr>
                        <w:rFonts w:cs="CG Times" w:ascii="CG Times" w:hAnsi="CG Times"/>
                        <w:sz w:val="24"/>
                      </w:rPr>
                      <w:t>1</w:t>
                    </w:r>
                  </w:p>
                  <w:p>
                    <w:pPr>
                      <w:pStyle w:val="Normal"/>
                      <w:jc w:val="end"/>
                      <w:rPr>
                        <w:rFonts w:ascii="CG Times" w:hAnsi="CG Times" w:cs="CG Times"/>
                        <w:sz w:val="24"/>
                      </w:rPr>
                    </w:pPr>
                    <w:r>
                      <w:rPr>
                        <w:rFonts w:cs="CG Times" w:ascii="CG Times" w:hAnsi="CG Times"/>
                        <w:sz w:val="24"/>
                      </w:rPr>
                      <w:t>2</w:t>
                    </w:r>
                  </w:p>
                  <w:p>
                    <w:pPr>
                      <w:pStyle w:val="Normal"/>
                      <w:jc w:val="end"/>
                      <w:rPr>
                        <w:rFonts w:ascii="CG Times" w:hAnsi="CG Times" w:cs="CG Times"/>
                        <w:sz w:val="24"/>
                      </w:rPr>
                    </w:pPr>
                    <w:r>
                      <w:rPr>
                        <w:rFonts w:cs="CG Times" w:ascii="CG Times" w:hAnsi="CG Times"/>
                        <w:sz w:val="24"/>
                      </w:rPr>
                      <w:t>3</w:t>
                    </w:r>
                  </w:p>
                  <w:p>
                    <w:pPr>
                      <w:pStyle w:val="Normal"/>
                      <w:jc w:val="end"/>
                      <w:rPr>
                        <w:rFonts w:ascii="CG Times" w:hAnsi="CG Times" w:cs="CG Times"/>
                        <w:sz w:val="24"/>
                      </w:rPr>
                    </w:pPr>
                    <w:r>
                      <w:rPr>
                        <w:rFonts w:cs="CG Times" w:ascii="CG Times" w:hAnsi="CG Times"/>
                        <w:sz w:val="24"/>
                      </w:rPr>
                      <w:t>4</w:t>
                    </w:r>
                  </w:p>
                  <w:p>
                    <w:pPr>
                      <w:pStyle w:val="Normal"/>
                      <w:jc w:val="end"/>
                      <w:rPr>
                        <w:rFonts w:ascii="CG Times" w:hAnsi="CG Times" w:cs="CG Times"/>
                        <w:sz w:val="24"/>
                      </w:rPr>
                    </w:pPr>
                    <w:r>
                      <w:rPr>
                        <w:rFonts w:cs="CG Times" w:ascii="CG Times" w:hAnsi="CG Times"/>
                        <w:sz w:val="24"/>
                      </w:rPr>
                      <w:t>5</w:t>
                    </w:r>
                  </w:p>
                  <w:p>
                    <w:pPr>
                      <w:pStyle w:val="Normal"/>
                      <w:jc w:val="end"/>
                      <w:rPr>
                        <w:rFonts w:ascii="CG Times" w:hAnsi="CG Times" w:cs="CG Times"/>
                        <w:sz w:val="24"/>
                      </w:rPr>
                    </w:pPr>
                    <w:r>
                      <w:rPr>
                        <w:rFonts w:cs="CG Times" w:ascii="CG Times" w:hAnsi="CG Times"/>
                        <w:sz w:val="24"/>
                      </w:rPr>
                      <w:t>6</w:t>
                    </w:r>
                  </w:p>
                  <w:p>
                    <w:pPr>
                      <w:pStyle w:val="Normal"/>
                      <w:jc w:val="end"/>
                      <w:rPr>
                        <w:rFonts w:ascii="CG Times" w:hAnsi="CG Times" w:cs="CG Times"/>
                        <w:sz w:val="24"/>
                      </w:rPr>
                    </w:pPr>
                    <w:r>
                      <w:rPr>
                        <w:rFonts w:cs="CG Times" w:ascii="CG Times" w:hAnsi="CG Times"/>
                        <w:sz w:val="24"/>
                      </w:rPr>
                      <w:t>7</w:t>
                    </w:r>
                  </w:p>
                  <w:p>
                    <w:pPr>
                      <w:pStyle w:val="Normal"/>
                      <w:jc w:val="end"/>
                      <w:rPr>
                        <w:rFonts w:ascii="CG Times" w:hAnsi="CG Times" w:cs="CG Times"/>
                        <w:sz w:val="24"/>
                      </w:rPr>
                    </w:pPr>
                    <w:r>
                      <w:rPr>
                        <w:rFonts w:cs="CG Times" w:ascii="CG Times" w:hAnsi="CG Times"/>
                        <w:sz w:val="24"/>
                      </w:rPr>
                      <w:t>8</w:t>
                    </w:r>
                  </w:p>
                  <w:p>
                    <w:pPr>
                      <w:pStyle w:val="Normal"/>
                      <w:jc w:val="end"/>
                      <w:rPr>
                        <w:rFonts w:ascii="CG Times" w:hAnsi="CG Times" w:cs="CG Times"/>
                        <w:sz w:val="24"/>
                      </w:rPr>
                    </w:pPr>
                    <w:r>
                      <w:rPr>
                        <w:rFonts w:cs="CG Times" w:ascii="CG Times" w:hAnsi="CG Times"/>
                        <w:sz w:val="24"/>
                      </w:rPr>
                      <w:t>9</w:t>
                    </w:r>
                  </w:p>
                  <w:p>
                    <w:pPr>
                      <w:pStyle w:val="Normal"/>
                      <w:jc w:val="end"/>
                      <w:rPr>
                        <w:rFonts w:ascii="CG Times" w:hAnsi="CG Times" w:cs="CG Times"/>
                        <w:sz w:val="24"/>
                      </w:rPr>
                    </w:pPr>
                    <w:r>
                      <w:rPr>
                        <w:rFonts w:cs="CG Times" w:ascii="CG Times" w:hAnsi="CG Times"/>
                        <w:sz w:val="24"/>
                      </w:rPr>
                      <w:t>10</w:t>
                    </w:r>
                  </w:p>
                  <w:p>
                    <w:pPr>
                      <w:pStyle w:val="Normal"/>
                      <w:jc w:val="end"/>
                      <w:rPr>
                        <w:rFonts w:ascii="CG Times" w:hAnsi="CG Times" w:cs="CG Times"/>
                        <w:sz w:val="24"/>
                      </w:rPr>
                    </w:pPr>
                    <w:r>
                      <w:rPr>
                        <w:rFonts w:cs="CG Times" w:ascii="CG Times" w:hAnsi="CG Times"/>
                        <w:sz w:val="24"/>
                      </w:rPr>
                      <w:t>11</w:t>
                    </w:r>
                  </w:p>
                  <w:p>
                    <w:pPr>
                      <w:pStyle w:val="Normal"/>
                      <w:jc w:val="end"/>
                      <w:rPr>
                        <w:rFonts w:ascii="CG Times" w:hAnsi="CG Times" w:cs="CG Times"/>
                        <w:sz w:val="24"/>
                      </w:rPr>
                    </w:pPr>
                    <w:r>
                      <w:rPr>
                        <w:rFonts w:cs="CG Times" w:ascii="CG Times" w:hAnsi="CG Times"/>
                        <w:sz w:val="24"/>
                      </w:rPr>
                      <w:t>12</w:t>
                    </w:r>
                  </w:p>
                  <w:p>
                    <w:pPr>
                      <w:pStyle w:val="Normal"/>
                      <w:jc w:val="end"/>
                      <w:rPr>
                        <w:rFonts w:ascii="CG Times" w:hAnsi="CG Times" w:cs="CG Times"/>
                        <w:sz w:val="24"/>
                      </w:rPr>
                    </w:pPr>
                    <w:r>
                      <w:rPr>
                        <w:rFonts w:cs="CG Times" w:ascii="CG Times" w:hAnsi="CG Times"/>
                        <w:sz w:val="24"/>
                      </w:rPr>
                      <w:t>13</w:t>
                    </w:r>
                  </w:p>
                  <w:p>
                    <w:pPr>
                      <w:pStyle w:val="Normal"/>
                      <w:jc w:val="end"/>
                      <w:rPr>
                        <w:rFonts w:ascii="CG Times" w:hAnsi="CG Times" w:cs="CG Times"/>
                        <w:sz w:val="24"/>
                      </w:rPr>
                    </w:pPr>
                    <w:r>
                      <w:rPr>
                        <w:rFonts w:cs="CG Times" w:ascii="CG Times" w:hAnsi="CG Times"/>
                        <w:sz w:val="24"/>
                      </w:rPr>
                      <w:t>14</w:t>
                    </w:r>
                  </w:p>
                  <w:p>
                    <w:pPr>
                      <w:pStyle w:val="Normal"/>
                      <w:jc w:val="end"/>
                      <w:rPr>
                        <w:rFonts w:ascii="CG Times" w:hAnsi="CG Times" w:cs="CG Times"/>
                        <w:sz w:val="24"/>
                      </w:rPr>
                    </w:pPr>
                    <w:r>
                      <w:rPr>
                        <w:rFonts w:cs="CG Times" w:ascii="CG Times" w:hAnsi="CG Times"/>
                        <w:sz w:val="24"/>
                      </w:rPr>
                      <w:t>15</w:t>
                    </w:r>
                  </w:p>
                  <w:p>
                    <w:pPr>
                      <w:pStyle w:val="Normal"/>
                      <w:jc w:val="end"/>
                      <w:rPr>
                        <w:rFonts w:ascii="CG Times" w:hAnsi="CG Times" w:cs="CG Times"/>
                        <w:sz w:val="24"/>
                      </w:rPr>
                    </w:pPr>
                    <w:r>
                      <w:rPr>
                        <w:rFonts w:cs="CG Times" w:ascii="CG Times" w:hAnsi="CG Times"/>
                        <w:sz w:val="24"/>
                      </w:rPr>
                      <w:t>16</w:t>
                    </w:r>
                  </w:p>
                  <w:p>
                    <w:pPr>
                      <w:pStyle w:val="Normal"/>
                      <w:jc w:val="end"/>
                      <w:rPr>
                        <w:rFonts w:ascii="CG Times" w:hAnsi="CG Times" w:cs="CG Times"/>
                        <w:sz w:val="24"/>
                      </w:rPr>
                    </w:pPr>
                    <w:r>
                      <w:rPr>
                        <w:rFonts w:cs="CG Times" w:ascii="CG Times" w:hAnsi="CG Times"/>
                        <w:sz w:val="24"/>
                      </w:rPr>
                      <w:t>17</w:t>
                    </w:r>
                  </w:p>
                  <w:p>
                    <w:pPr>
                      <w:pStyle w:val="Normal"/>
                      <w:jc w:val="end"/>
                      <w:rPr>
                        <w:rFonts w:ascii="CG Times" w:hAnsi="CG Times" w:cs="CG Times"/>
                        <w:sz w:val="24"/>
                      </w:rPr>
                    </w:pPr>
                    <w:r>
                      <w:rPr>
                        <w:rFonts w:cs="CG Times" w:ascii="CG Times" w:hAnsi="CG Times"/>
                        <w:sz w:val="24"/>
                      </w:rPr>
                      <w:t>18</w:t>
                    </w:r>
                  </w:p>
                  <w:p>
                    <w:pPr>
                      <w:pStyle w:val="Normal"/>
                      <w:jc w:val="end"/>
                      <w:rPr>
                        <w:rFonts w:ascii="CG Times" w:hAnsi="CG Times" w:cs="CG Times"/>
                        <w:sz w:val="24"/>
                      </w:rPr>
                    </w:pPr>
                    <w:r>
                      <w:rPr>
                        <w:rFonts w:cs="CG Times" w:ascii="CG Times" w:hAnsi="CG Times"/>
                        <w:sz w:val="24"/>
                      </w:rPr>
                      <w:t>19</w:t>
                    </w:r>
                  </w:p>
                  <w:p>
                    <w:pPr>
                      <w:pStyle w:val="Normal"/>
                      <w:jc w:val="end"/>
                      <w:rPr>
                        <w:rFonts w:ascii="CG Times" w:hAnsi="CG Times" w:cs="CG Times"/>
                        <w:sz w:val="24"/>
                      </w:rPr>
                    </w:pPr>
                    <w:r>
                      <w:rPr>
                        <w:rFonts w:cs="CG Times" w:ascii="CG Times" w:hAnsi="CG Times"/>
                        <w:sz w:val="24"/>
                      </w:rPr>
                      <w:t>20</w:t>
                    </w:r>
                  </w:p>
                  <w:p>
                    <w:pPr>
                      <w:pStyle w:val="Normal"/>
                      <w:jc w:val="end"/>
                      <w:rPr>
                        <w:rFonts w:ascii="CG Times" w:hAnsi="CG Times" w:cs="CG Times"/>
                        <w:sz w:val="24"/>
                      </w:rPr>
                    </w:pPr>
                    <w:r>
                      <w:rPr>
                        <w:rFonts w:cs="CG Times" w:ascii="CG Times" w:hAnsi="CG Times"/>
                        <w:sz w:val="24"/>
                      </w:rPr>
                      <w:t>21</w:t>
                    </w:r>
                  </w:p>
                  <w:p>
                    <w:pPr>
                      <w:pStyle w:val="Normal"/>
                      <w:jc w:val="end"/>
                      <w:rPr>
                        <w:rFonts w:ascii="CG Times" w:hAnsi="CG Times" w:cs="CG Times"/>
                        <w:sz w:val="24"/>
                      </w:rPr>
                    </w:pPr>
                    <w:r>
                      <w:rPr>
                        <w:rFonts w:cs="CG Times" w:ascii="CG Times" w:hAnsi="CG Times"/>
                        <w:sz w:val="24"/>
                      </w:rPr>
                      <w:t>22</w:t>
                    </w:r>
                  </w:p>
                  <w:p>
                    <w:pPr>
                      <w:pStyle w:val="Normal"/>
                      <w:jc w:val="end"/>
                      <w:rPr>
                        <w:rFonts w:ascii="CG Times" w:hAnsi="CG Times" w:cs="CG Times"/>
                        <w:sz w:val="24"/>
                      </w:rPr>
                    </w:pPr>
                    <w:r>
                      <w:rPr>
                        <w:rFonts w:cs="CG Times" w:ascii="CG Times" w:hAnsi="CG Times"/>
                        <w:sz w:val="24"/>
                      </w:rPr>
                      <w:t>23</w:t>
                    </w:r>
                  </w:p>
                  <w:p>
                    <w:pPr>
                      <w:pStyle w:val="Normal"/>
                      <w:jc w:val="end"/>
                      <w:rPr>
                        <w:rFonts w:ascii="CG Times" w:hAnsi="CG Times" w:cs="CG Times"/>
                        <w:sz w:val="24"/>
                      </w:rPr>
                    </w:pPr>
                    <w:r>
                      <w:rPr>
                        <w:rFonts w:cs="CG Times" w:ascii="CG Times" w:hAnsi="CG Times"/>
                        <w:sz w:val="24"/>
                      </w:rPr>
                      <w:t>24</w:t>
                    </w:r>
                  </w:p>
                  <w:p>
                    <w:pPr>
                      <w:pStyle w:val="Normal"/>
                      <w:jc w:val="end"/>
                      <w:rPr>
                        <w:rFonts w:ascii="CG Times" w:hAnsi="CG Times" w:cs="CG Times"/>
                        <w:sz w:val="24"/>
                      </w:rPr>
                    </w:pPr>
                    <w:r>
                      <w:rPr>
                        <w:rFonts w:cs="CG Times" w:ascii="CG Times" w:hAnsi="CG Times"/>
                        <w:sz w:val="24"/>
                      </w:rPr>
                      <w:t>25</w:t>
                    </w:r>
                  </w:p>
                  <w:p>
                    <w:pPr>
                      <w:pStyle w:val="Normal"/>
                      <w:jc w:val="end"/>
                      <w:rPr>
                        <w:rFonts w:ascii="CG Times" w:hAnsi="CG Times" w:cs="CG Times"/>
                        <w:sz w:val="24"/>
                      </w:rPr>
                    </w:pPr>
                    <w:r>
                      <w:rPr>
                        <w:rFonts w:cs="CG Times" w:ascii="CG Times" w:hAnsi="CG Times"/>
                        <w:sz w:val="24"/>
                      </w:rPr>
                      <w:t>26</w:t>
                    </w:r>
                  </w:p>
                  <w:p>
                    <w:pPr>
                      <w:pStyle w:val="Normal"/>
                      <w:jc w:val="end"/>
                      <w:rPr>
                        <w:rFonts w:ascii="CG Times" w:hAnsi="CG Times" w:cs="CG Times"/>
                        <w:sz w:val="24"/>
                      </w:rPr>
                    </w:pPr>
                    <w:r>
                      <w:rPr>
                        <w:rFonts w:cs="CG Times" w:ascii="CG Times" w:hAnsi="CG Times"/>
                        <w:sz w:val="24"/>
                      </w:rPr>
                      <w:t>27</w:t>
                    </w:r>
                  </w:p>
                  <w:p>
                    <w:pPr>
                      <w:pStyle w:val="Normal"/>
                      <w:jc w:val="end"/>
                      <w:rPr>
                        <w:rFonts w:ascii="CG Times" w:hAnsi="CG Times" w:cs="CG Times"/>
                        <w:sz w:val="24"/>
                      </w:rPr>
                    </w:pPr>
                    <w:r>
                      <w:rPr>
                        <w:rFonts w:cs="CG Times" w:ascii="CG Times" w:hAnsi="CG Times"/>
                        <w:sz w:val="24"/>
                      </w:rPr>
                      <w:t>28</w:t>
                    </w:r>
                  </w:p>
                  <w:p>
                    <w:pPr>
                      <w:pStyle w:val="Normal"/>
                      <w:jc w:val="end"/>
                      <w:rPr>
                        <w:rFonts w:ascii="CG Times" w:hAnsi="CG Times" w:cs="CG Times"/>
                        <w:sz w:val="24"/>
                      </w:rPr>
                    </w:pPr>
                    <w:r>
                      <w:rPr>
                        <w:rFonts w:cs="CG Times" w:ascii="CG Times" w:hAnsi="CG Times"/>
                        <w:sz w:val="24"/>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AttorneyName" w:val="-1"/>
    <w:docVar w:name="CaptionBoxStyle" w:val="0"/>
    <w:docVar w:name="CourtAlignment" w:val="1"/>
    <w:docVar w:name="CourtName" w:val="SUPERIOR COURT OF THE STATE OF CALIFORNIA&#10;FOR THE CITY AND COUNTY OF SAN FRANCISCO"/>
    <w:docVar w:name="FirmInFtr" w:val="0"/>
    <w:docVar w:name="FirmInSigBlkStyle" w:val="0"/>
    <w:docVar w:name="FirstLineNum" w:val="1"/>
    <w:docVar w:name="FirstPleadingLine" w:val="1"/>
    <w:docVar w:name="Font" w:val="Courier"/>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0"/>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80"/>
    </w:pPr>
    <w:rPr>
      <w:rFonts w:ascii="Courier" w:hAnsi="Courier" w:eastAsia="Times New Roman" w:cs="Courier"/>
      <w:color w:val="auto"/>
      <w:sz w:val="18"/>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480"/>
      <w:jc w:val="center"/>
      <w:outlineLvl w:val="1"/>
    </w:pPr>
    <w:rPr>
      <w:sz w:val="24"/>
    </w:rPr>
  </w:style>
  <w:style w:type="paragraph" w:styleId="Heading3">
    <w:name w:val="heading 3"/>
    <w:basedOn w:val="Normal"/>
    <w:next w:val="Normal"/>
    <w:qFormat/>
    <w:pPr>
      <w:keepNext w:val="true"/>
      <w:numPr>
        <w:ilvl w:val="2"/>
        <w:numId w:val="1"/>
      </w:numPr>
      <w:spacing w:lineRule="auto" w:line="240"/>
      <w:ind w:firstLine="1025" w:start="0" w:end="0"/>
      <w:outlineLvl w:val="2"/>
    </w:pPr>
    <w:rPr>
      <w:rFonts w:ascii="Courier New" w:hAnsi="Courier New" w:cs="Courier New"/>
      <w:sz w:val="24"/>
    </w:rPr>
  </w:style>
  <w:style w:type="paragraph" w:styleId="Heading4">
    <w:name w:val="heading 4"/>
    <w:basedOn w:val="Normal"/>
    <w:next w:val="Normal"/>
    <w:qFormat/>
    <w:pPr>
      <w:keepNext w:val="true"/>
      <w:numPr>
        <w:ilvl w:val="3"/>
        <w:numId w:val="1"/>
      </w:numPr>
      <w:ind w:hanging="4500" w:start="4500" w:end="0"/>
      <w:outlineLvl w:val="3"/>
    </w:pPr>
    <w:rPr>
      <w:rFonts w:ascii="Courier New" w:hAnsi="Courier New" w:cs="Courier New"/>
      <w:sz w:val="24"/>
    </w:rPr>
  </w:style>
  <w:style w:type="paragraph" w:styleId="Heading5">
    <w:name w:val="heading 5"/>
    <w:basedOn w:val="Normal"/>
    <w:next w:val="Normal"/>
    <w:qFormat/>
    <w:pPr>
      <w:keepNext w:val="true"/>
      <w:numPr>
        <w:ilvl w:val="4"/>
        <w:numId w:val="1"/>
      </w:numPr>
      <w:jc w:val="center"/>
      <w:outlineLvl w:val="4"/>
    </w:pPr>
    <w:rPr>
      <w:rFonts w:ascii="Courier New" w:hAnsi="Courier New" w:cs="Courier New"/>
      <w:b/>
      <w:bCs/>
      <w:sz w:val="24"/>
    </w:rPr>
  </w:style>
  <w:style w:type="paragraph" w:styleId="Heading6">
    <w:name w:val="heading 6"/>
    <w:basedOn w:val="Normal"/>
    <w:next w:val="Normal"/>
    <w:qFormat/>
    <w:pPr>
      <w:keepNext w:val="true"/>
      <w:numPr>
        <w:ilvl w:val="5"/>
        <w:numId w:val="1"/>
      </w:numPr>
      <w:spacing w:lineRule="auto" w:line="240"/>
      <w:jc w:val="both"/>
      <w:outlineLvl w:val="5"/>
    </w:pPr>
    <w:rPr>
      <w:rFonts w:ascii="Courier New" w:hAnsi="Courier New" w:cs="Courier New"/>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80"/>
    </w:pPr>
    <w:rPr>
      <w:rFonts w:ascii="CG Times" w:hAnsi="CG Times" w:cs="CG Times"/>
      <w:sz w:val="1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ingleSpacing">
    <w:name w:val="Single Spacing"/>
    <w:basedOn w:val="Normal"/>
    <w:qFormat/>
    <w:pPr>
      <w:spacing w:lineRule="exact" w:line="234"/>
    </w:pPr>
    <w:rPr/>
  </w:style>
  <w:style w:type="paragraph" w:styleId="15Spacing">
    <w:name w:val="1.5 Spacing"/>
    <w:basedOn w:val="Normal"/>
    <w:qFormat/>
    <w:pPr>
      <w:spacing w:lineRule="exact" w:line="351"/>
    </w:pPr>
    <w:rPr/>
  </w:style>
  <w:style w:type="paragraph" w:styleId="DoubleSpacing">
    <w:name w:val="Double Spacing"/>
    <w:basedOn w:val="Normal"/>
    <w:qFormat/>
    <w:pPr/>
    <w:rPr/>
  </w:style>
  <w:style w:type="paragraph" w:styleId="AttorneyName">
    <w:name w:val="Attorney Name"/>
    <w:basedOn w:val="SingleSpacing"/>
    <w:qFormat/>
    <w:pPr/>
    <w:rPr/>
  </w:style>
  <w:style w:type="paragraph" w:styleId="FirmName">
    <w:name w:val="Firm Name"/>
    <w:basedOn w:val="SingleSpacing"/>
    <w:qFormat/>
    <w:pPr>
      <w:jc w:val="center"/>
    </w:pPr>
    <w:rPr/>
  </w:style>
  <w:style w:type="paragraph" w:styleId="SignatureBlock">
    <w:name w:val="Signature Block"/>
    <w:basedOn w:val="SingleSpacing"/>
    <w:qFormat/>
    <w:pPr>
      <w:ind w:hanging="0" w:start="57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paragraph" w:styleId="BodyText3">
    <w:name w:val="Body Text 3"/>
    <w:basedOn w:val="Normal"/>
    <w:qFormat/>
    <w:pPr>
      <w:spacing w:lineRule="auto" w:line="240"/>
    </w:pPr>
    <w:rPr>
      <w:rFonts w:ascii="Courier New" w:hAnsi="Courier New" w:cs="Courier New"/>
      <w:b/>
      <w:bCs/>
      <w:sz w:val="24"/>
    </w:rPr>
  </w:style>
  <w:style w:type="paragraph" w:styleId="BodyTextIndent">
    <w:name w:val="Body Text Indent"/>
    <w:basedOn w:val="Normal"/>
    <w:pPr>
      <w:spacing w:lineRule="exact" w:line="480"/>
      <w:ind w:firstLine="720" w:start="0" w:end="0"/>
    </w:pPr>
    <w:rPr>
      <w:rFonts w:ascii="Courier New" w:hAnsi="Courier New" w:cs="Courier New"/>
      <w:sz w:val="24"/>
    </w:rPr>
  </w:style>
  <w:style w:type="paragraph" w:styleId="BodyTextIndent2">
    <w:name w:val="Body Text Indent 2"/>
    <w:basedOn w:val="Normal"/>
    <w:qFormat/>
    <w:pPr>
      <w:spacing w:lineRule="auto" w:line="240"/>
      <w:ind w:hanging="0" w:start="3600" w:end="0"/>
    </w:pPr>
    <w:rPr>
      <w:rFonts w:ascii="Courier New" w:hAnsi="Courier New" w:cs="Courier New"/>
      <w:sz w:val="24"/>
    </w:rPr>
  </w:style>
  <w:style w:type="paragraph" w:styleId="FootnoteText">
    <w:name w:val="footnote text"/>
    <w:basedOn w:val="Normal"/>
    <w:pPr>
      <w:spacing w:lineRule="auto" w:line="240"/>
    </w:pPr>
    <w:rPr>
      <w:sz w:val="20"/>
    </w:rPr>
  </w:style>
  <w:style w:type="paragraph" w:styleId="BlockText">
    <w:name w:val="Block Text"/>
    <w:basedOn w:val="Normal"/>
    <w:qFormat/>
    <w:pPr>
      <w:tabs>
        <w:tab w:val="clear" w:pos="720"/>
        <w:tab w:val="left" w:pos="1350" w:leader="none"/>
      </w:tabs>
      <w:spacing w:lineRule="auto" w:line="240"/>
      <w:ind w:hanging="0" w:start="1440" w:end="1267"/>
    </w:pPr>
    <w:rPr>
      <w:rFonts w:ascii="Courier New" w:hAnsi="Courier New" w:cs="Courier New"/>
      <w:sz w:val="24"/>
    </w:rPr>
  </w:style>
  <w:style w:type="paragraph" w:styleId="BodyTextIndent3">
    <w:name w:val="Body Text Indent 3"/>
    <w:basedOn w:val="Normal"/>
    <w:qFormat/>
    <w:pPr>
      <w:ind w:hanging="720" w:start="1440" w:end="0"/>
    </w:pPr>
    <w:rPr>
      <w:rFonts w:ascii="Courier New" w:hAnsi="Courier New" w:cs="Courier New"/>
      <w:b/>
      <w:bC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 LAO.dot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2001-03-14T20:40:00Z</dcterms:created>
  <dc:creator>Administrator</dc:creator>
  <dc:description/>
  <dc:language>en-CA</dc:language>
  <cp:lastModifiedBy>Administrator</cp:lastModifiedBy>
  <cp:lastPrinted>2001-03-14T18:07:00Z</cp:lastPrinted>
  <dcterms:modified xsi:type="dcterms:W3CDTF">2001-03-14T23:37:00Z</dcterms:modified>
  <cp:revision>19</cp:revision>
  <dc:subject/>
  <dc:title>Pleading</dc:title>
</cp:coreProperties>
</file>