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October 5, 2001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u w:val="single"/>
        </w:rPr>
      </w:pPr>
      <w:r>
        <w:rPr>
          <w:rFonts w:cs="Times New Roman" w:ascii="Times New Roman" w:hAnsi="Times New Roman"/>
          <w:b/>
          <w:u w:val="single"/>
        </w:rPr>
        <w:t>VIA Facsimile and Hand Delivery</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EndnoteText"/>
        <w:rPr>
          <w:rFonts w:ascii="Times New Roman" w:hAnsi="Times New Roman" w:cs="Times New Roman"/>
        </w:rPr>
      </w:pPr>
      <w:r>
        <w:rPr>
          <w:rFonts w:cs="Times New Roman" w:ascii="Times New Roman" w:hAnsi="Times New Roman"/>
        </w:rPr>
        <w:t>The Honorable Pat Wood III</w:t>
      </w:r>
    </w:p>
    <w:p>
      <w:pPr>
        <w:pStyle w:val="Normal"/>
        <w:rPr>
          <w:rFonts w:ascii="Times New Roman" w:hAnsi="Times New Roman" w:cs="Times New Roman"/>
        </w:rPr>
      </w:pPr>
      <w:r>
        <w:rPr>
          <w:rFonts w:cs="Times New Roman" w:ascii="Times New Roman" w:hAnsi="Times New Roman"/>
        </w:rPr>
        <w:t>The Honorable William L. Massey</w:t>
      </w:r>
    </w:p>
    <w:p>
      <w:pPr>
        <w:pStyle w:val="Normal"/>
        <w:rPr>
          <w:rFonts w:ascii="Times New Roman" w:hAnsi="Times New Roman" w:cs="Times New Roman"/>
        </w:rPr>
      </w:pPr>
      <w:r>
        <w:rPr>
          <w:rFonts w:cs="Times New Roman" w:ascii="Times New Roman" w:hAnsi="Times New Roman"/>
        </w:rPr>
        <w:t>The Honorable Linda Key Breathitt</w:t>
      </w:r>
    </w:p>
    <w:p>
      <w:pPr>
        <w:pStyle w:val="Normal"/>
        <w:rPr>
          <w:rFonts w:ascii="Times New Roman" w:hAnsi="Times New Roman" w:cs="Times New Roman"/>
        </w:rPr>
      </w:pPr>
      <w:r>
        <w:rPr>
          <w:rFonts w:cs="Times New Roman" w:ascii="Times New Roman" w:hAnsi="Times New Roman"/>
        </w:rPr>
        <w:t>The Honorable Nora Mead Brownell</w:t>
      </w:r>
    </w:p>
    <w:p>
      <w:pPr>
        <w:pStyle w:val="Normal"/>
        <w:rPr>
          <w:rFonts w:ascii="Times New Roman" w:hAnsi="Times New Roman" w:cs="Times New Roman"/>
        </w:rPr>
      </w:pPr>
      <w:r>
        <w:rPr>
          <w:rFonts w:cs="Times New Roman" w:ascii="Times New Roman" w:hAnsi="Times New Roman"/>
        </w:rPr>
        <w:t>Federal Energy Regulatory Commission</w:t>
      </w:r>
    </w:p>
    <w:p>
      <w:pPr>
        <w:pStyle w:val="Normal"/>
        <w:rPr>
          <w:rFonts w:ascii="Times New Roman" w:hAnsi="Times New Roman" w:cs="Times New Roman"/>
        </w:rPr>
      </w:pPr>
      <w:r>
        <w:rPr>
          <w:rFonts w:cs="Times New Roman" w:ascii="Times New Roman" w:hAnsi="Times New Roman"/>
        </w:rPr>
        <w:t>888 First Street, NE</w:t>
      </w:r>
    </w:p>
    <w:p>
      <w:pPr>
        <w:pStyle w:val="Normal"/>
        <w:rPr>
          <w:rFonts w:ascii="Times New Roman" w:hAnsi="Times New Roman" w:cs="Times New Roman"/>
        </w:rPr>
      </w:pPr>
      <w:r>
        <w:rPr>
          <w:rFonts w:cs="Times New Roman" w:ascii="Times New Roman" w:hAnsi="Times New Roman"/>
        </w:rPr>
        <w:t>Washington, DC  20426</w:t>
      </w:r>
    </w:p>
    <w:p>
      <w:pPr>
        <w:pStyle w:val="Normal"/>
        <w:rPr>
          <w:rFonts w:ascii="Times New Roman" w:hAnsi="Times New Roman" w:cs="Times New Roman"/>
        </w:rPr>
      </w:pPr>
      <w:r>
        <w:rPr>
          <w:rFonts w:cs="Times New Roman" w:ascii="Times New Roman" w:hAnsi="Times New Roman"/>
        </w:rPr>
      </w:r>
    </w:p>
    <w:p>
      <w:pPr>
        <w:pStyle w:val="EndnoteText"/>
        <w:rPr>
          <w:rFonts w:ascii="Times New Roman" w:hAnsi="Times New Roman" w:cs="Times New Roman"/>
        </w:rPr>
      </w:pPr>
      <w:r>
        <w:rPr>
          <w:rFonts w:cs="Times New Roman" w:ascii="Times New Roman" w:hAnsi="Times New Roman"/>
        </w:rPr>
        <w:tab/>
        <w:t xml:space="preserve">Re:  California ISO Summary Report on Meeting Convened by FERC Staff,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September 24-25, 2001, Folsom, California</w:t>
      </w:r>
    </w:p>
    <w:p>
      <w:pPr>
        <w:pStyle w:val="Endnote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Chairman and Commissioners: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The undersigned California Generators—subsidiaries of Duke Energy, Dynegy, Mirant, and Williams—are writing out of concern that misperceptions may exist following the California ISO’s posting of the “Summary Report of the Meeting Convened by Federal Energy Regulatory Commission Staff,” which was held September 24-25, 2001 in Folsom, California.  The Summary Report describes fourteen so-called “agreements” reached at the meeting.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 xml:space="preserve">It is important to place these “agreements”—which in many cases are better characterized as goals—in perspective.  The purpose of this non-public meeting was limited to operations and reliability.  As the Commission is well aware, in a properly functioning RTO or ISO, such issues normally would not be news at the Commission.  But dysfunction better describes California.  For more than a year, antagonism replaced communications; unilateral ISO filings and complaint proceedings replaced stakeholder meetings; a State-controlled Governing Board preempted an independent Board; and since trade month November 2000, essentially no payment for ISO market energy or ancillary services has been received, leaving the California Generators owed billions of dollars for services rendered.  The FERC Staff’s unusual initiative to bring operational personnel together for discussions with the ISO is both necessary and appreciated.  The California marketplace cannot return to any form of normalcy until the ISO stops relying on </w:t>
      </w:r>
      <w:r>
        <w:rPr>
          <w:rFonts w:cs="Times New Roman" w:ascii="Times New Roman" w:hAnsi="Times New Roman"/>
          <w:i/>
        </w:rPr>
        <w:t xml:space="preserve">unilateral </w:t>
      </w:r>
      <w:r>
        <w:rPr>
          <w:rFonts w:cs="Times New Roman" w:ascii="Times New Roman" w:hAnsi="Times New Roman"/>
        </w:rPr>
        <w:t xml:space="preserve">actions, and market participants and the ISO staff “relearn” how to reach </w:t>
      </w:r>
      <w:r>
        <w:rPr>
          <w:rFonts w:cs="Times New Roman" w:ascii="Times New Roman" w:hAnsi="Times New Roman"/>
          <w:i/>
        </w:rPr>
        <w:t xml:space="preserve">mutual </w:t>
      </w:r>
      <w:r>
        <w:rPr>
          <w:rFonts w:cs="Times New Roman" w:ascii="Times New Roman" w:hAnsi="Times New Roman"/>
        </w:rPr>
        <w:t>agreements.</w:t>
      </w:r>
    </w:p>
    <w:p>
      <w:pPr>
        <w:pStyle w:val="Normal"/>
        <w:rPr>
          <w:rFonts w:ascii="Times New Roman" w:hAnsi="Times New Roman" w:cs="Times New Roman"/>
        </w:rPr>
      </w:pPr>
      <w:r>
        <w:rPr>
          <w:rFonts w:cs="Times New Roman" w:ascii="Times New Roman" w:hAnsi="Times New Roman"/>
        </w:rPr>
      </w:r>
    </w:p>
    <w:p>
      <w:pPr>
        <w:pStyle w:val="Normal"/>
        <w:ind w:firstLine="720" w:end="0"/>
        <w:rPr/>
      </w:pPr>
      <w:r>
        <w:rPr/>
        <w:t>Not surprisingly, given the task at hand the agreements actually reached were more limited in their significance and specifics than the list of agreements in the Summary Report might suggest.  While the California Generators agree with the characterization of certain points, there are material differences in how we would characterize a number of the so-called agreements.  The ISO’s list and description of what was accomplished was produced by ISO staff; the California Generators were given no opportunity to review the Summary Report prior to its posting.  Other so-called agreements are simply restated market-based principles and provisions already embedded in the ISO Tariff, and will remain nothing more than principles until the ISO implements them once again.  Nevertheless, we were pleased that this initial meeting resulted in, among other things, the start of a much needed dialogue and an agreement to work on improving communications between ISO and the California Generators’ operators and dispatchers.</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pPr>
      <w:r>
        <w:rPr/>
        <w:t xml:space="preserve">Because of the early nature of the operational and reliability discussions between participants and the ISO, the fact that the so-called agreements mischaracterize a number of  principles we believe to have been reached, and the fact that in many instances the goals require many blanks to be filled in, we are concerned that the posting of a link to the ISO Summary Report on the FERC web page is misleading to the public.  </w:t>
      </w:r>
      <w:r>
        <w:rPr>
          <w:i/>
        </w:rPr>
        <w:t>See, e.g.,</w:t>
      </w:r>
      <w:r>
        <w:rPr/>
        <w:t xml:space="preserve"> “FERC Staff, California Parties Agree On Some Dispatch Issues,” </w:t>
      </w:r>
      <w:r>
        <w:rPr>
          <w:i/>
        </w:rPr>
        <w:t>Megawatt Daily</w:t>
      </w:r>
      <w:r>
        <w:rPr/>
        <w:t xml:space="preserve"> (Oct. 4, 2001).  We therefore respectfully suggest and request that the Commission remove this link from its web page.  We also believe that the ISO should do the same.</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rFonts w:ascii="Times New Roman" w:hAnsi="Times New Roman" w:cs="Times New Roman"/>
        </w:rPr>
      </w:pPr>
      <w:r>
        <w:rPr>
          <w:rFonts w:cs="Times New Roman" w:ascii="Times New Roman" w:hAnsi="Times New Roman"/>
        </w:rPr>
        <w:t>This letter is not, however, the appropriate time or place to set forth our specific disagreements and concerns with the ISO’s Summary Report.  As you may know, the two-day meeting held at the ISO was non-public and all participants agreed to keep the discussions confidential, pursuant to the Commission’s settlement rules.  We hope, therefore, to have the opportunity to raise our concerns at a future FERC-sponsored meeting on operations and reliability, and urge the Commission to permit FERC Staff to facilitate such discussions.</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rFonts w:ascii="Times New Roman" w:hAnsi="Times New Roman" w:cs="Times New Roman"/>
        </w:rPr>
      </w:pPr>
      <w:r>
        <w:rPr>
          <w:rFonts w:cs="Times New Roman" w:ascii="Times New Roman" w:hAnsi="Times New Roman"/>
        </w:rPr>
        <w:t>It is also important to understand that, with few exceptions, agreements to work toward better communications and to enforce the existing terms and principles in the ISO Tariff are unlikely to end the protracted and extensive litigation now pending at the Commission.  That litigation includes the refund proceeding, enforcement of the credit standards, full payment by CDWR for all power delivered to the IOUs pursuant to CDWR’s agreement to act as the Scheduling Coordinator for the IOUs’ net short load, various market mitigation measures, including implementation of the must offer requirement as indicated in the Summary Report, and other matters, such as the application of penalties on load and generation.</w:t>
      </w:r>
    </w:p>
    <w:p>
      <w:pPr>
        <w:pStyle w:val="BodyTextFirstIndent"/>
        <w:spacing w:before="0" w:after="0"/>
        <w:rPr>
          <w:rFonts w:ascii="Times New Roman" w:hAnsi="Times New Roman" w:cs="Times New Roman"/>
        </w:rPr>
      </w:pPr>
      <w:r>
        <w:rPr>
          <w:rFonts w:cs="Times New Roman" w:ascii="Times New Roman" w:hAnsi="Times New Roman"/>
        </w:rPr>
      </w:r>
    </w:p>
    <w:p>
      <w:pPr>
        <w:pStyle w:val="BodyTextFirstIndent"/>
        <w:spacing w:before="0" w:after="0"/>
        <w:rPr>
          <w:rFonts w:ascii="Times New Roman" w:hAnsi="Times New Roman" w:cs="Times New Roman"/>
        </w:rPr>
      </w:pPr>
      <w:r>
        <w:rPr>
          <w:rFonts w:cs="Times New Roman" w:ascii="Times New Roman" w:hAnsi="Times New Roman"/>
        </w:rPr>
        <w:t>Finally, the California Generators wish to commend the Commission on its decision to institute an operational audit of the ISO.  Until the Commission and public can untangle the operational relationship between CDWR and the ISO, and the ISO’s procedural and operational violations of the ISO Tariff, regulatory uncertainty will remain in the California markets.  We look forward to assisting the Commission and its auditors in any way possible.</w:t>
      </w:r>
    </w:p>
    <w:p>
      <w:pPr>
        <w:pStyle w:val="BodyTextFirstIndent"/>
        <w:spacing w:before="0" w:after="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Respectfully submitted,</w:t>
      </w:r>
    </w:p>
    <w:p>
      <w:pPr>
        <w:pStyle w:val="Normal"/>
        <w:spacing w:lineRule="auto" w:line="480"/>
        <w:jc w:val="center"/>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SignatureBlock"/>
              <w:ind w:hanging="0" w:start="0" w:end="0"/>
              <w:jc w:val="both"/>
              <w:rPr>
                <w:rFonts w:ascii="Times New Roman" w:hAnsi="Times New Roman" w:cs="Times New Roman"/>
              </w:rPr>
            </w:pPr>
            <w:r>
              <w:rPr>
                <w:rFonts w:cs="Times New Roman" w:ascii="Times New Roman" w:hAnsi="Times New Roman"/>
              </w:rPr>
              <w:t>Debra Raggio Bolton, Esq.</w:t>
            </w:r>
          </w:p>
          <w:p>
            <w:pPr>
              <w:pStyle w:val="Normal"/>
              <w:rPr/>
            </w:pPr>
            <w:r>
              <w:rPr/>
              <w:t>Mirant Americas, Inc.</w:t>
            </w:r>
          </w:p>
          <w:p>
            <w:pPr>
              <w:pStyle w:val="Normal"/>
              <w:rPr/>
            </w:pPr>
            <w:r>
              <w:rPr/>
              <w:t>901 F Street, N.W., Suite 800</w:t>
            </w:r>
          </w:p>
          <w:p>
            <w:pPr>
              <w:pStyle w:val="Normal"/>
              <w:rPr/>
            </w:pPr>
            <w:r>
              <w:rPr/>
              <w:t>Washington, DC 20004</w:t>
            </w:r>
          </w:p>
          <w:p>
            <w:pPr>
              <w:pStyle w:val="Normal"/>
              <w:rPr/>
            </w:pPr>
            <w:r>
              <w:rPr/>
              <w:t>(202) 585-3809</w:t>
            </w:r>
          </w:p>
          <w:p>
            <w:pPr>
              <w:pStyle w:val="EndnoteText"/>
              <w:rPr/>
            </w:pPr>
            <w:r>
              <w:rPr/>
            </w:r>
          </w:p>
        </w:tc>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SignatureBlock"/>
              <w:ind w:hanging="0" w:start="0" w:end="0"/>
              <w:jc w:val="both"/>
              <w:rPr>
                <w:rFonts w:ascii="Times New Roman" w:hAnsi="Times New Roman" w:cs="Times New Roman"/>
              </w:rPr>
            </w:pPr>
            <w:r>
              <w:rPr>
                <w:rFonts w:cs="Times New Roman" w:ascii="Times New Roman" w:hAnsi="Times New Roman"/>
              </w:rPr>
              <w:t>Joel D. Newton, Esq.</w:t>
            </w:r>
          </w:p>
          <w:p>
            <w:pPr>
              <w:pStyle w:val="Normal"/>
              <w:rPr/>
            </w:pPr>
            <w:r>
              <w:rPr/>
              <w:t>Dynegy Power Marketing, Inc.</w:t>
            </w:r>
          </w:p>
          <w:p>
            <w:pPr>
              <w:pStyle w:val="Normal"/>
              <w:rPr/>
            </w:pPr>
            <w:r>
              <w:rPr/>
              <w:t>805 15</w:t>
            </w:r>
            <w:r>
              <w:rPr>
                <w:vertAlign w:val="superscript"/>
              </w:rPr>
              <w:t>th</w:t>
            </w:r>
            <w:r>
              <w:rPr/>
              <w:t xml:space="preserve"> Street, N.W.</w:t>
            </w:r>
          </w:p>
          <w:p>
            <w:pPr>
              <w:pStyle w:val="Normal"/>
              <w:rPr/>
            </w:pPr>
            <w:r>
              <w:rPr/>
              <w:t>Washington, DC 20005-2207</w:t>
            </w:r>
          </w:p>
          <w:p>
            <w:pPr>
              <w:pStyle w:val="Normal"/>
              <w:rPr/>
            </w:pPr>
            <w:r>
              <w:rPr/>
              <w:t>(202) 216-1126</w:t>
            </w:r>
          </w:p>
          <w:p>
            <w:pPr>
              <w:pStyle w:val="Normal"/>
              <w:rPr/>
            </w:pPr>
            <w:r>
              <w:rPr/>
            </w:r>
          </w:p>
        </w:tc>
      </w:tr>
      <w:tr>
        <w:trPr/>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Normal"/>
              <w:rPr>
                <w:rFonts w:ascii="Times New Roman" w:hAnsi="Times New Roman" w:cs="Times New Roman"/>
                <w:color w:val="000000"/>
              </w:rPr>
            </w:pPr>
            <w:r>
              <w:rPr>
                <w:rFonts w:cs="Times New Roman" w:ascii="Times New Roman" w:hAnsi="Times New Roman"/>
                <w:color w:val="000000"/>
              </w:rPr>
              <w:t>Christine M. Pallenik, Esq.</w:t>
            </w:r>
          </w:p>
          <w:p>
            <w:pPr>
              <w:pStyle w:val="Normal"/>
              <w:rPr>
                <w:rFonts w:ascii="Times New Roman" w:hAnsi="Times New Roman" w:cs="Times New Roman"/>
                <w:color w:val="000000"/>
              </w:rPr>
            </w:pPr>
            <w:r>
              <w:rPr>
                <w:rFonts w:cs="Times New Roman" w:ascii="Times New Roman" w:hAnsi="Times New Roman"/>
                <w:color w:val="000000"/>
              </w:rPr>
              <w:t>Duke Energy Trading and Marketing, LLC</w:t>
            </w:r>
          </w:p>
          <w:p>
            <w:pPr>
              <w:pStyle w:val="Normal"/>
              <w:rPr>
                <w:rFonts w:ascii="Times New Roman" w:hAnsi="Times New Roman" w:cs="Times New Roman"/>
                <w:color w:val="000000"/>
              </w:rPr>
            </w:pPr>
            <w:r>
              <w:rPr>
                <w:rFonts w:cs="Times New Roman" w:ascii="Times New Roman" w:hAnsi="Times New Roman"/>
                <w:color w:val="000000"/>
              </w:rPr>
              <w:t>4 Triad Center</w:t>
            </w:r>
          </w:p>
          <w:p>
            <w:pPr>
              <w:pStyle w:val="Normal"/>
              <w:rPr>
                <w:rFonts w:ascii="Times New Roman" w:hAnsi="Times New Roman" w:cs="Times New Roman"/>
                <w:color w:val="000000"/>
              </w:rPr>
            </w:pPr>
            <w:r>
              <w:rPr>
                <w:rFonts w:cs="Times New Roman" w:ascii="Times New Roman" w:hAnsi="Times New Roman"/>
                <w:color w:val="000000"/>
              </w:rPr>
              <w:t>Suite 1000</w:t>
            </w:r>
          </w:p>
          <w:p>
            <w:pPr>
              <w:pStyle w:val="Normal"/>
              <w:rPr>
                <w:rFonts w:ascii="Times New Roman" w:hAnsi="Times New Roman" w:cs="Times New Roman"/>
                <w:color w:val="000000"/>
              </w:rPr>
            </w:pPr>
            <w:r>
              <w:rPr>
                <w:rFonts w:cs="Times New Roman" w:ascii="Times New Roman" w:hAnsi="Times New Roman"/>
                <w:color w:val="000000"/>
              </w:rPr>
              <w:t>Salt Lake City, Utah 84180</w:t>
            </w:r>
          </w:p>
          <w:p>
            <w:pPr>
              <w:pStyle w:val="Normal"/>
              <w:rPr/>
            </w:pPr>
            <w:r>
              <w:rPr/>
              <w:t>(801) 531-5109</w:t>
            </w:r>
            <w:r>
              <w:rPr>
                <w:rFonts w:cs="Times New Roman" w:ascii="Times New Roman" w:hAnsi="Times New Roman"/>
              </w:rPr>
              <w:tab/>
            </w:r>
          </w:p>
        </w:tc>
        <w:tc>
          <w:tcPr>
            <w:tcW w:w="4788" w:type="dxa"/>
            <w:tcBorders/>
          </w:tcPr>
          <w:p>
            <w:pPr>
              <w:pStyle w:val="SignatureBlock"/>
              <w:ind w:hanging="0" w:start="0" w:end="0"/>
              <w:jc w:val="both"/>
              <w:rPr/>
            </w:pPr>
            <w:r>
              <w:rPr>
                <w:rFonts w:cs="Times New Roman" w:ascii="Times New Roman" w:hAnsi="Times New Roman"/>
              </w:rPr>
              <w:t>________</w:t>
            </w:r>
            <w:r>
              <w:rPr>
                <w:rFonts w:cs="Times New Roman" w:ascii="Times New Roman" w:hAnsi="Times New Roman"/>
                <w:u w:val="single"/>
              </w:rPr>
              <w:t>/s/</w:t>
            </w:r>
            <w:r>
              <w:rPr>
                <w:rFonts w:cs="Times New Roman" w:ascii="Times New Roman" w:hAnsi="Times New Roman"/>
              </w:rPr>
              <w:t>____________</w:t>
            </w:r>
          </w:p>
          <w:p>
            <w:pPr>
              <w:pStyle w:val="SignatureBlock"/>
              <w:ind w:hanging="0" w:start="0" w:end="0"/>
              <w:jc w:val="both"/>
              <w:rPr>
                <w:rFonts w:ascii="Times New Roman" w:hAnsi="Times New Roman" w:cs="Times New Roman"/>
              </w:rPr>
            </w:pPr>
            <w:r>
              <w:rPr>
                <w:rFonts w:cs="Times New Roman" w:ascii="Times New Roman" w:hAnsi="Times New Roman"/>
              </w:rPr>
              <w:t xml:space="preserve">Alex A. Goldberg, Esq. </w:t>
            </w:r>
          </w:p>
          <w:p>
            <w:pPr>
              <w:pStyle w:val="SignatureBlock"/>
              <w:ind w:hanging="0" w:start="0" w:end="0"/>
              <w:jc w:val="both"/>
              <w:rPr>
                <w:rFonts w:ascii="Times New Roman" w:hAnsi="Times New Roman" w:cs="Times New Roman"/>
              </w:rPr>
            </w:pPr>
            <w:r>
              <w:rPr>
                <w:rFonts w:cs="Times New Roman" w:ascii="Times New Roman" w:hAnsi="Times New Roman"/>
              </w:rPr>
              <w:t>Tim Muller, Esq.</w:t>
            </w:r>
          </w:p>
          <w:p>
            <w:pPr>
              <w:pStyle w:val="Normal"/>
              <w:rPr/>
            </w:pPr>
            <w:r>
              <w:rPr/>
              <w:t>Williams Energy Marketing &amp;</w:t>
            </w:r>
          </w:p>
          <w:p>
            <w:pPr>
              <w:pStyle w:val="Normal"/>
              <w:rPr/>
            </w:pPr>
            <w:r>
              <w:rPr>
                <w:rFonts w:eastAsia="CG Times"/>
              </w:rPr>
              <w:t xml:space="preserve">  </w:t>
            </w:r>
            <w:r>
              <w:rPr/>
              <w:t>Trading Co.</w:t>
            </w:r>
          </w:p>
          <w:p>
            <w:pPr>
              <w:pStyle w:val="Normal"/>
              <w:rPr/>
            </w:pPr>
            <w:r>
              <w:rPr/>
              <w:t>One Williams Center, MD41-3</w:t>
            </w:r>
          </w:p>
          <w:p>
            <w:pPr>
              <w:pStyle w:val="Normal"/>
              <w:rPr/>
            </w:pPr>
            <w:r>
              <w:rPr/>
              <w:t>Tulsa, OK 74158</w:t>
            </w:r>
          </w:p>
          <w:p>
            <w:pPr>
              <w:pStyle w:val="Normal"/>
              <w:rPr/>
            </w:pPr>
            <w:r>
              <w:rPr/>
              <w:t>(918) 573-3901</w:t>
            </w:r>
          </w:p>
        </w:tc>
      </w:tr>
      <w:tr>
        <w:trPr/>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c>
          <w:tcPr>
            <w:tcW w:w="4788" w:type="dxa"/>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t>cc:</w:t>
        <w:tab/>
        <w:t>Participants at 9/24-9/25 conference</w:t>
      </w:r>
    </w:p>
    <w:p>
      <w:pPr>
        <w:pStyle w:val="Normal"/>
        <w:rPr/>
      </w:pPr>
      <w:r>
        <w:rPr/>
        <w:tab/>
        <w:t>Robert Pease</w:t>
      </w:r>
    </w:p>
    <w:p>
      <w:pPr>
        <w:pStyle w:val="Normal"/>
        <w:rPr/>
      </w:pPr>
      <w:r>
        <w:rPr/>
        <w:tab/>
        <w:t>Bryan Craig</w:t>
      </w:r>
    </w:p>
    <w:p>
      <w:pPr>
        <w:pStyle w:val="Normal"/>
        <w:rPr/>
      </w:pPr>
      <w:r>
        <w:rPr/>
        <w:tab/>
        <w:t>Bruce Poole</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 xml:space="preserve"> of </w:t>
    </w:r>
    <w:r>
      <w:rPr>
        <w:rFonts w:cs="Times New Roman" w:ascii="Times New Roman" w:hAnsi="Times New Roman"/>
      </w:rPr>
      <w:fldChar w:fldCharType="begin"/>
    </w:r>
    <w:r>
      <w:rPr>
        <w:rFonts w:cs="Times New Roman" w:ascii="Times New Roman" w:hAnsi="Times New Roman"/>
      </w:rPr>
      <w:instrText xml:space="preserve"> NUMPAGES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October 5, 2001</w:t>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rPr>
  </w:style>
  <w:style w:type="character" w:styleId="WW8Num2z0">
    <w:name w:val="WW8Num2z0"/>
    <w:qFormat/>
    <w:rPr>
      <w:b/>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FirstIndent">
    <w:name w:val="Body Text First Indent"/>
    <w:basedOn w:val="BodyText"/>
    <w:qFormat/>
    <w:pPr>
      <w:ind w:firstLine="720" w:start="0" w:end="0"/>
    </w:pPr>
    <w:rPr/>
  </w:style>
  <w:style w:type="paragraph" w:styleId="FootnoteText">
    <w:name w:val="footnote text"/>
    <w:basedOn w:val="BodyTextFirstIndent"/>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ind w:firstLine="720" w:start="0" w:end="0"/>
    </w:pPr>
    <w:rPr>
      <w:b/>
    </w:rPr>
  </w:style>
  <w:style w:type="paragraph" w:styleId="SignatureBlock">
    <w:name w:val="Signature Block"/>
    <w:basedOn w:val="Normal"/>
    <w:next w:val="Normal"/>
    <w:qFormat/>
    <w:pPr>
      <w:ind w:firstLine="72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2001-10-12T18:16:00Z</dcterms:created>
  <dc:creator>Joel D. Newton</dc:creator>
  <dc:description/>
  <dc:language>en-CA</dc:language>
  <cp:lastModifiedBy>snovose</cp:lastModifiedBy>
  <cp:lastPrinted>2001-10-05T13:31:00Z</cp:lastPrinted>
  <dcterms:modified xsi:type="dcterms:W3CDTF">2001-10-12T18:16:00Z</dcterms:modified>
  <cp:revision>2</cp:revision>
  <dc:subject/>
  <dc:title>Dear Chairman and Commissioners: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