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CAPITAL &amp; TRADE RESOURCES</w:t>
      </w:r>
    </w:p>
    <w:p>
      <w:pPr>
        <w:pStyle w:val="Normal"/>
        <w:jc w:val="center"/>
        <w:rPr>
          <w:b/>
          <w:sz w:val="22"/>
        </w:rPr>
      </w:pPr>
      <w:r>
        <w:rPr>
          <w:b/>
          <w:sz w:val="22"/>
        </w:rPr>
        <w:t>North American Energy Services</w:t>
      </w:r>
    </w:p>
    <w:p>
      <w:pPr>
        <w:pStyle w:val="Normal"/>
        <w:jc w:val="center"/>
        <w:rPr>
          <w:b/>
          <w:sz w:val="22"/>
        </w:rPr>
      </w:pPr>
      <w:r>
        <w:rPr>
          <w:b/>
          <w:sz w:val="22"/>
        </w:rPr>
        <w:t>TRANSACTION APPROVAL FORM</w:t>
      </w:r>
    </w:p>
    <w:p>
      <w:pPr>
        <w:pStyle w:val="Normal"/>
        <w:jc w:val="center"/>
        <w:rPr>
          <w:b/>
          <w:sz w:val="22"/>
        </w:rPr>
      </w:pPr>
      <w:r>
        <w:rPr>
          <w:b/>
          <w:sz w:val="22"/>
        </w:rPr>
        <w:t>CATS:  Cabot Marketing Transco Terrebonne</w:t>
      </w:r>
    </w:p>
    <w:p>
      <w:pPr>
        <w:pStyle w:val="Normal"/>
        <w:rPr>
          <w:b/>
          <w:sz w:val="22"/>
        </w:rPr>
      </w:pPr>
      <w:r>
        <w:rPr>
          <w:b/>
          <w:sz w:val="22"/>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cPr>
          <w:p>
            <w:pPr>
              <w:pStyle w:val="Normal"/>
              <w:rPr>
                <w:b/>
                <w:sz w:val="22"/>
              </w:rPr>
            </w:pPr>
            <w:r>
              <w:rPr>
                <w:b/>
                <w:sz w:val="22"/>
              </w:rPr>
              <w:t>TRANSACTION:</w:t>
            </w:r>
          </w:p>
        </w:tc>
        <w:tc>
          <w:tcPr>
            <w:tcW w:w="7398" w:type="dxa"/>
            <w:tcBorders/>
          </w:tcPr>
          <w:p>
            <w:pPr>
              <w:pStyle w:val="Normal"/>
              <w:rPr>
                <w:b/>
                <w:sz w:val="22"/>
              </w:rPr>
            </w:pPr>
            <w:r>
              <w:rPr>
                <w:b/>
                <w:sz w:val="22"/>
              </w:rPr>
              <w:t xml:space="preserve">Purchase pipeline quality wellhead gas (initially 18,000 Mmbtu/d) from Cabot Oil &amp; Gas Marketing from a single well, the Continental Land &amp; Fur 58 #2, currently connected to Transco Pipeline in Zone 3, Terrebonne Parish, LA at Facility #514800.  </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DEAL SUMMARY/STATUS:</w:t>
            </w:r>
          </w:p>
        </w:tc>
        <w:tc>
          <w:tcPr>
            <w:tcW w:w="7398" w:type="dxa"/>
            <w:tcBorders/>
          </w:tcPr>
          <w:p>
            <w:pPr>
              <w:pStyle w:val="Normal"/>
              <w:rPr>
                <w:b/>
                <w:sz w:val="22"/>
              </w:rPr>
            </w:pPr>
            <w:r>
              <w:rPr>
                <w:b/>
                <w:sz w:val="22"/>
              </w:rPr>
              <w:t xml:space="preserve">Cabot will dedicate reserves associated with the existing well for the life of the well; no other drilling on the dedicated acreage is currently expected.  Enron Upstream will pay Transco Zone 3 Index Flat for the commodity at the wellhead, less transport to the pool (currently $0.0787, as established by Transco’s tariff) less fuel.  The East Desk has submitted a five year bid for 80% of the expected firm, firm production at Index plus $0.0075 for the first 4 months, thru 3/2001, and Index plus $0.0050 for the remainder of the term, thru 11/2005. </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PROPOSED CONTRACT:</w:t>
            </w:r>
          </w:p>
        </w:tc>
        <w:tc>
          <w:tcPr>
            <w:tcW w:w="7398" w:type="dxa"/>
            <w:tcBorders/>
          </w:tcPr>
          <w:p>
            <w:pPr>
              <w:pStyle w:val="Normal"/>
              <w:rPr>
                <w:b/>
                <w:sz w:val="22"/>
              </w:rPr>
            </w:pPr>
            <w:r>
              <w:rPr>
                <w:b/>
                <w:sz w:val="22"/>
              </w:rPr>
              <w:t>Enron’s Standard Wellhead Gas Purchase Agreement, providing for a life of reserves dedication commencing 12/1/2000 will be executed.  Standard provisions will include gas daily pricing for any new mid month production, bankruptcy and credit protection and liquidated damages allowing for mark to market accounting treatment.   Pricing will parallel the East desk bid – payment for 80% of  production will be Index based and payment for the residue will be Gas Daily based.   For the past 3 months, including 11/2000, the East Desk has purchased this gas on a month-to-month basis for a price between Index PLUS $0.0025 and Index LESS $0.01.</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ENRON ECONOMICS:</w:t>
            </w:r>
          </w:p>
        </w:tc>
        <w:tc>
          <w:tcPr>
            <w:tcW w:w="7398" w:type="dxa"/>
            <w:tcBorders/>
          </w:tcPr>
          <w:p>
            <w:pPr>
              <w:pStyle w:val="Normal"/>
              <w:snapToGrid w:val="false"/>
              <w:rPr>
                <w:b/>
                <w:sz w:val="22"/>
              </w:rPr>
            </w:pPr>
            <w:r>
              <w:rPr>
                <w:b/>
                <w:sz w:val="22"/>
              </w:rPr>
            </w:r>
          </w:p>
        </w:tc>
      </w:tr>
      <w:tr>
        <w:trPr/>
        <w:tc>
          <w:tcPr>
            <w:tcW w:w="3618" w:type="dxa"/>
            <w:tcBorders/>
          </w:tcPr>
          <w:p>
            <w:pPr>
              <w:pStyle w:val="Normal"/>
              <w:snapToGrid w:val="false"/>
              <w:rPr>
                <w:b/>
                <w:sz w:val="22"/>
              </w:rPr>
            </w:pPr>
            <w:r>
              <w:rPr>
                <w:b/>
                <w:sz w:val="22"/>
              </w:rPr>
            </w:r>
          </w:p>
        </w:tc>
        <w:tc>
          <w:tcPr>
            <w:tcW w:w="7398" w:type="dxa"/>
            <w:tcBorders/>
          </w:tcPr>
          <w:p>
            <w:pPr>
              <w:pStyle w:val="Normal"/>
              <w:rPr>
                <w:sz w:val="22"/>
              </w:rPr>
            </w:pPr>
            <w:r>
              <w:rPr>
                <w:sz w:val="22"/>
              </w:rPr>
              <w:t>Present Value to Mid Market</w:t>
            </w:r>
          </w:p>
          <w:p>
            <w:pPr>
              <w:pStyle w:val="Normal"/>
              <w:rPr>
                <w:sz w:val="22"/>
              </w:rPr>
            </w:pPr>
            <w:r>
              <w:rPr>
                <w:sz w:val="22"/>
              </w:rPr>
              <w:t>Based on a 20% decline rate, a 10% time value discount rate, initial production of 18,000 Mmbtu/d, declining in 5 years to 6,678 Mmbut/d and the East Desk’s bid, the mark to market NPV is $72,323.  Upside potential:  increase in the Desk bid by $0.0025 increases NPV to $106,393; reduction of the decline rate to 15% increases NPV to $79,250; increasing the firm risk percentage from 80% to 90% increases NPV to $81,363.   Enron Upstream will keep the East Desk whole should volumes for the 80% firm component fail to show up on any given day of the term.</w:t>
            </w:r>
          </w:p>
          <w:p>
            <w:pPr>
              <w:pStyle w:val="Normal"/>
              <w:rPr>
                <w:sz w:val="22"/>
              </w:rPr>
            </w:pPr>
            <w:r>
              <w:rPr>
                <w:sz w:val="22"/>
              </w:rPr>
            </w:r>
          </w:p>
        </w:tc>
      </w:tr>
      <w:tr>
        <w:trPr/>
        <w:tc>
          <w:tcPr>
            <w:tcW w:w="3618" w:type="dxa"/>
            <w:tcBorders/>
          </w:tcPr>
          <w:p>
            <w:pPr>
              <w:pStyle w:val="Normal"/>
              <w:snapToGrid w:val="false"/>
              <w:rPr>
                <w:sz w:val="22"/>
              </w:rPr>
            </w:pPr>
            <w:r>
              <w:rPr>
                <w:sz w:val="22"/>
              </w:rPr>
            </w:r>
          </w:p>
        </w:tc>
        <w:tc>
          <w:tcPr>
            <w:tcW w:w="7398" w:type="dxa"/>
            <w:tcBorders/>
          </w:tcPr>
          <w:p>
            <w:pPr>
              <w:pStyle w:val="Normal"/>
              <w:rPr>
                <w:sz w:val="22"/>
              </w:rPr>
            </w:pPr>
            <w:r>
              <w:rPr>
                <w:sz w:val="22"/>
              </w:rPr>
              <w:t>Prudency Allowance</w:t>
            </w:r>
          </w:p>
          <w:p>
            <w:pPr>
              <w:pStyle w:val="Normal"/>
              <w:rPr>
                <w:sz w:val="22"/>
              </w:rPr>
            </w:pPr>
            <w:r>
              <w:rPr>
                <w:sz w:val="22"/>
              </w:rPr>
            </w:r>
          </w:p>
        </w:tc>
      </w:tr>
      <w:tr>
        <w:trPr/>
        <w:tc>
          <w:tcPr>
            <w:tcW w:w="3618" w:type="dxa"/>
            <w:tcBorders/>
          </w:tcPr>
          <w:p>
            <w:pPr>
              <w:pStyle w:val="Normal"/>
              <w:snapToGrid w:val="false"/>
              <w:rPr>
                <w:sz w:val="22"/>
              </w:rPr>
            </w:pPr>
            <w:r>
              <w:rPr>
                <w:sz w:val="22"/>
              </w:rPr>
            </w:r>
          </w:p>
        </w:tc>
        <w:tc>
          <w:tcPr>
            <w:tcW w:w="7398" w:type="dxa"/>
            <w:tcBorders/>
          </w:tcPr>
          <w:p>
            <w:pPr>
              <w:pStyle w:val="Normal"/>
              <w:rPr>
                <w:sz w:val="22"/>
              </w:rPr>
            </w:pPr>
            <w:r>
              <w:rPr>
                <w:sz w:val="22"/>
              </w:rPr>
              <w:t>Credit Allowance</w:t>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CORPORATE GUARANTEE:</w:t>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EQUITY INTEREST:</w:t>
            </w:r>
          </w:p>
        </w:tc>
        <w:tc>
          <w:tcPr>
            <w:tcW w:w="7398" w:type="dxa"/>
            <w:tcBorders/>
          </w:tcPr>
          <w:p>
            <w:pPr>
              <w:pStyle w:val="Normal"/>
              <w:snapToGrid w:val="false"/>
              <w:rPr>
                <w:b/>
                <w:sz w:val="22"/>
              </w:rPr>
            </w:pPr>
            <w:r>
              <w:rPr>
                <w:b/>
                <w:sz w:val="22"/>
              </w:rPr>
            </w:r>
          </w:p>
        </w:tc>
      </w:tr>
      <w:tr>
        <w:trPr/>
        <w:tc>
          <w:tcPr>
            <w:tcW w:w="3618" w:type="dxa"/>
            <w:tcBorders/>
          </w:tcPr>
          <w:p>
            <w:pPr>
              <w:pStyle w:val="Normal"/>
              <w:snapToGrid w:val="false"/>
              <w:rPr>
                <w:b/>
                <w:sz w:val="22"/>
              </w:rPr>
            </w:pPr>
            <w:r>
              <w:rPr>
                <w:b/>
                <w:sz w:val="22"/>
              </w:rPr>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EXCEPTIONS TO ECT RISK</w:t>
            </w:r>
          </w:p>
        </w:tc>
        <w:tc>
          <w:tcPr>
            <w:tcW w:w="7398" w:type="dxa"/>
            <w:tcBorders/>
          </w:tcPr>
          <w:p>
            <w:pPr>
              <w:pStyle w:val="Normal"/>
              <w:snapToGrid w:val="false"/>
              <w:rPr>
                <w:b/>
                <w:sz w:val="22"/>
              </w:rPr>
            </w:pPr>
            <w:r>
              <w:rPr>
                <w:b/>
                <w:sz w:val="22"/>
              </w:rPr>
            </w:r>
          </w:p>
        </w:tc>
      </w:tr>
      <w:tr>
        <w:trPr/>
        <w:tc>
          <w:tcPr>
            <w:tcW w:w="3618" w:type="dxa"/>
            <w:tcBorders/>
          </w:tcPr>
          <w:p>
            <w:pPr>
              <w:pStyle w:val="Normal"/>
              <w:rPr>
                <w:b/>
                <w:sz w:val="22"/>
              </w:rPr>
            </w:pPr>
            <w:r>
              <w:rPr>
                <w:b/>
                <w:sz w:val="22"/>
              </w:rPr>
              <w:t>ACCEPTANCE CRITERIA:</w:t>
            </w:r>
          </w:p>
        </w:tc>
        <w:tc>
          <w:tcPr>
            <w:tcW w:w="7398" w:type="dxa"/>
            <w:tcBorders/>
          </w:tcPr>
          <w:p>
            <w:pPr>
              <w:pStyle w:val="Normal"/>
              <w:snapToGrid w:val="false"/>
              <w:rPr>
                <w:b/>
                <w:sz w:val="22"/>
              </w:rPr>
            </w:pPr>
            <w:r>
              <w:rPr>
                <w:b/>
                <w:sz w:val="22"/>
              </w:rPr>
            </w:r>
          </w:p>
        </w:tc>
      </w:tr>
    </w:tbl>
    <w:p>
      <w:pPr>
        <w:pStyle w:val="Normal"/>
        <w:rPr>
          <w:b/>
          <w:sz w:val="20"/>
        </w:rPr>
      </w:pPr>
      <w:r>
        <w:rPr>
          <w:b/>
          <w:sz w:val="20"/>
        </w:rPr>
      </w:r>
    </w:p>
    <w:p>
      <w:pPr>
        <w:pStyle w:val="Normal"/>
        <w:rPr>
          <w:b/>
          <w:sz w:val="20"/>
        </w:rPr>
      </w:pPr>
      <w:r>
        <w:rPr>
          <w:b/>
          <w:sz w:val="20"/>
        </w:rPr>
      </w:r>
    </w:p>
    <w:p>
      <w:pPr>
        <w:pStyle w:val="Normal"/>
        <w:jc w:val="center"/>
        <w:rPr>
          <w:b/>
          <w:sz w:val="22"/>
        </w:rPr>
      </w:pPr>
      <w:r>
        <w:rPr>
          <w:b/>
          <w:sz w:val="22"/>
        </w:rPr>
        <w:t>APPROVAL TO PROCEED WITH TRANSACTION</w:t>
      </w:r>
    </w:p>
    <w:p>
      <w:pPr>
        <w:pStyle w:val="Normal"/>
        <w:jc w:val="center"/>
        <w:rPr>
          <w:b/>
          <w:sz w:val="16"/>
        </w:rPr>
      </w:pPr>
      <w:r>
        <w:rPr>
          <w:b/>
          <w:sz w:val="16"/>
        </w:rPr>
      </w:r>
    </w:p>
    <w:tbl>
      <w:tblPr>
        <w:tblW w:w="10008" w:type="dxa"/>
        <w:jc w:val="start"/>
        <w:tblInd w:w="0" w:type="dxa"/>
        <w:tblLayout w:type="fixed"/>
        <w:tblCellMar>
          <w:top w:w="0" w:type="dxa"/>
          <w:start w:w="108" w:type="dxa"/>
          <w:bottom w:w="0" w:type="dxa"/>
          <w:end w:w="108" w:type="dxa"/>
        </w:tblCellMar>
      </w:tblPr>
      <w:tblGrid>
        <w:gridCol w:w="7218"/>
        <w:gridCol w:w="270"/>
        <w:gridCol w:w="2520"/>
      </w:tblGrid>
      <w:tr>
        <w:trPr/>
        <w:tc>
          <w:tcPr>
            <w:tcW w:w="7218" w:type="dxa"/>
            <w:tcBorders>
              <w:bottom w:val="single" w:sz="6" w:space="0" w:color="000000"/>
            </w:tcBorders>
          </w:tcPr>
          <w:p>
            <w:pPr>
              <w:pStyle w:val="Normal"/>
              <w:tabs>
                <w:tab w:val="clear" w:pos="720"/>
                <w:tab w:val="left" w:pos="6750" w:leader="none"/>
              </w:tabs>
              <w:spacing w:before="40" w:after="40"/>
              <w:rPr>
                <w:b/>
                <w:sz w:val="22"/>
              </w:rPr>
            </w:pPr>
            <w:r>
              <w:rPr>
                <w:b/>
                <w:sz w:val="22"/>
              </w:rPr>
              <w:t>ORIGINATOR:</w:t>
            </w:r>
          </w:p>
        </w:tc>
        <w:tc>
          <w:tcPr>
            <w:tcW w:w="270" w:type="dxa"/>
            <w:tcBorders/>
          </w:tcPr>
          <w:p>
            <w:pPr>
              <w:pStyle w:val="Normal"/>
              <w:tabs>
                <w:tab w:val="clear" w:pos="720"/>
                <w:tab w:val="left" w:pos="6750" w:leader="none"/>
                <w:tab w:val="left" w:pos="6840" w:leader="none"/>
              </w:tabs>
              <w:snapToGrid w:val="false"/>
              <w:spacing w:before="40" w:after="40"/>
              <w:rPr>
                <w:b/>
                <w:sz w:val="22"/>
              </w:rPr>
            </w:pPr>
            <w:r>
              <w:rPr>
                <w:b/>
                <w:sz w:val="22"/>
              </w:rPr>
            </w:r>
          </w:p>
        </w:tc>
        <w:tc>
          <w:tcPr>
            <w:tcW w:w="2520" w:type="dxa"/>
            <w:tcBorders>
              <w:bottom w:val="single" w:sz="6" w:space="0" w:color="000000"/>
            </w:tcBorders>
          </w:tcPr>
          <w:p>
            <w:pPr>
              <w:pStyle w:val="Normal"/>
              <w:tabs>
                <w:tab w:val="clear" w:pos="720"/>
                <w:tab w:val="left" w:pos="6750" w:leader="none"/>
                <w:tab w:val="left" w:pos="6840" w:leader="none"/>
              </w:tabs>
              <w:spacing w:before="40" w:after="40"/>
              <w:rPr>
                <w:b/>
                <w:sz w:val="22"/>
              </w:rPr>
            </w:pPr>
            <w:r>
              <w:rPr>
                <w:b/>
                <w:sz w:val="22"/>
              </w:rPr>
              <w:t>Date:</w:t>
            </w:r>
          </w:p>
        </w:tc>
      </w:tr>
      <w:tr>
        <w:trPr/>
        <w:tc>
          <w:tcPr>
            <w:tcW w:w="7218" w:type="dxa"/>
            <w:tcBorders/>
          </w:tcPr>
          <w:p>
            <w:pPr>
              <w:pStyle w:val="Normal"/>
              <w:tabs>
                <w:tab w:val="clear" w:pos="720"/>
                <w:tab w:val="left" w:pos="6750" w:leader="none"/>
                <w:tab w:val="left" w:pos="6840" w:leader="none"/>
              </w:tabs>
              <w:spacing w:before="40" w:after="0"/>
              <w:rPr>
                <w:b/>
                <w:sz w:val="22"/>
              </w:rPr>
            </w:pPr>
            <w:r>
              <w:rPr>
                <w:b/>
                <w:sz w:val="22"/>
              </w:rPr>
              <w:t>TRADING DESK:</w:t>
            </w:r>
          </w:p>
        </w:tc>
        <w:tc>
          <w:tcPr>
            <w:tcW w:w="270" w:type="dxa"/>
            <w:tcBorders/>
          </w:tcPr>
          <w:p>
            <w:pPr>
              <w:pStyle w:val="Normal"/>
              <w:tabs>
                <w:tab w:val="clear" w:pos="720"/>
                <w:tab w:val="left" w:pos="6750" w:leader="none"/>
                <w:tab w:val="left" w:pos="6840" w:leader="none"/>
              </w:tabs>
              <w:snapToGrid w:val="false"/>
              <w:spacing w:before="40" w:after="40"/>
              <w:rPr>
                <w:b/>
                <w:sz w:val="22"/>
              </w:rPr>
            </w:pPr>
            <w:r>
              <w:rPr>
                <w:b/>
                <w:sz w:val="22"/>
              </w:rPr>
            </w:r>
          </w:p>
        </w:tc>
        <w:tc>
          <w:tcPr>
            <w:tcW w:w="2520" w:type="dxa"/>
            <w:tcBorders/>
          </w:tcPr>
          <w:p>
            <w:pPr>
              <w:pStyle w:val="Normal"/>
              <w:tabs>
                <w:tab w:val="clear" w:pos="720"/>
                <w:tab w:val="left" w:pos="6750" w:leader="none"/>
                <w:tab w:val="left" w:pos="6840" w:leader="none"/>
              </w:tabs>
              <w:snapToGrid w:val="false"/>
              <w:spacing w:before="40" w:after="4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6750" w:leader="none"/>
                <w:tab w:val="left" w:pos="6840" w:leader="none"/>
              </w:tabs>
              <w:spacing w:before="0" w:after="40"/>
              <w:rPr>
                <w:b/>
                <w:sz w:val="18"/>
              </w:rPr>
            </w:pPr>
            <w:r>
              <w:rPr>
                <w:b/>
                <w:sz w:val="18"/>
              </w:rPr>
              <w:tab/>
              <w:t>Comments:</w:t>
            </w:r>
          </w:p>
          <w:p>
            <w:pPr>
              <w:pStyle w:val="Normal"/>
              <w:tabs>
                <w:tab w:val="clear" w:pos="720"/>
                <w:tab w:val="left" w:pos="270" w:leader="none"/>
                <w:tab w:val="left" w:pos="6750" w:leader="none"/>
                <w:tab w:val="left" w:pos="6840" w:leader="none"/>
              </w:tabs>
              <w:spacing w:before="0" w:after="40"/>
              <w:rPr>
                <w:b/>
                <w:sz w:val="22"/>
              </w:rPr>
            </w:pPr>
            <w:r>
              <w:rPr>
                <w:b/>
                <w:sz w:val="22"/>
              </w:rPr>
            </w:r>
          </w:p>
        </w:tc>
        <w:tc>
          <w:tcPr>
            <w:tcW w:w="270" w:type="dxa"/>
            <w:tcBorders/>
          </w:tcPr>
          <w:p>
            <w:pPr>
              <w:pStyle w:val="Normal"/>
              <w:tabs>
                <w:tab w:val="clear" w:pos="720"/>
                <w:tab w:val="left" w:pos="6750" w:leader="none"/>
                <w:tab w:val="left" w:pos="6840" w:leader="none"/>
              </w:tabs>
              <w:snapToGrid w:val="false"/>
              <w:spacing w:before="0" w:after="40"/>
              <w:rPr>
                <w:b/>
                <w:sz w:val="22"/>
              </w:rPr>
            </w:pPr>
            <w:r>
              <w:rPr>
                <w:b/>
                <w:sz w:val="22"/>
              </w:rPr>
            </w:r>
          </w:p>
        </w:tc>
        <w:tc>
          <w:tcPr>
            <w:tcW w:w="2520" w:type="dxa"/>
            <w:tcBorders>
              <w:bottom w:val="single" w:sz="6" w:space="0" w:color="000000"/>
            </w:tcBorders>
          </w:tcPr>
          <w:p>
            <w:pPr>
              <w:pStyle w:val="Normal"/>
              <w:tabs>
                <w:tab w:val="clear" w:pos="720"/>
                <w:tab w:val="left" w:pos="6750" w:leader="none"/>
                <w:tab w:val="left" w:pos="6840" w:leader="none"/>
              </w:tabs>
              <w:snapToGrid w:val="false"/>
              <w:spacing w:before="0" w:after="40"/>
              <w:rPr>
                <w:b/>
                <w:sz w:val="16"/>
              </w:rPr>
            </w:pPr>
            <w:r>
              <w:rPr>
                <w:b/>
                <w:sz w:val="16"/>
              </w:rPr>
            </w:r>
          </w:p>
          <w:p>
            <w:pPr>
              <w:pStyle w:val="Normal"/>
              <w:tabs>
                <w:tab w:val="clear" w:pos="720"/>
                <w:tab w:val="left" w:pos="6750" w:leader="none"/>
                <w:tab w:val="left" w:pos="6840" w:leader="none"/>
              </w:tabs>
              <w:spacing w:before="0" w:after="40"/>
              <w:rPr>
                <w:b/>
                <w:sz w:val="22"/>
              </w:rPr>
            </w:pPr>
            <w:r>
              <w:rPr>
                <w:b/>
                <w:sz w:val="22"/>
              </w:rPr>
              <w:t>Date:</w:t>
            </w:r>
          </w:p>
        </w:tc>
      </w:tr>
      <w:tr>
        <w:trPr/>
        <w:tc>
          <w:tcPr>
            <w:tcW w:w="7218" w:type="dxa"/>
            <w:tcBorders/>
          </w:tcPr>
          <w:p>
            <w:pPr>
              <w:pStyle w:val="Normal"/>
              <w:tabs>
                <w:tab w:val="clear" w:pos="720"/>
                <w:tab w:val="left" w:pos="6750" w:leader="none"/>
                <w:tab w:val="left" w:pos="6840" w:leader="none"/>
              </w:tabs>
              <w:spacing w:before="80" w:after="80"/>
              <w:rPr>
                <w:b/>
                <w:sz w:val="20"/>
              </w:rPr>
            </w:pPr>
            <w:r>
              <w:rPr>
                <w:b/>
                <w:sz w:val="22"/>
              </w:rPr>
              <w:t>BUSINESS UNIT VP:</w:t>
            </w:r>
          </w:p>
        </w:tc>
        <w:tc>
          <w:tcPr>
            <w:tcW w:w="270" w:type="dxa"/>
            <w:tcBorders/>
          </w:tcPr>
          <w:p>
            <w:pPr>
              <w:pStyle w:val="Normal"/>
              <w:tabs>
                <w:tab w:val="clear" w:pos="720"/>
                <w:tab w:val="left" w:pos="6750" w:leader="none"/>
                <w:tab w:val="left" w:pos="6840" w:leader="none"/>
              </w:tabs>
              <w:snapToGrid w:val="false"/>
              <w:spacing w:before="80" w:after="80"/>
              <w:rPr>
                <w:b/>
                <w:sz w:val="22"/>
              </w:rPr>
            </w:pPr>
            <w:r>
              <w:rPr>
                <w:b/>
                <w:sz w:val="22"/>
              </w:rPr>
            </w:r>
          </w:p>
        </w:tc>
        <w:tc>
          <w:tcPr>
            <w:tcW w:w="2520" w:type="dxa"/>
            <w:tcBorders/>
          </w:tcPr>
          <w:p>
            <w:pPr>
              <w:pStyle w:val="Normal"/>
              <w:tabs>
                <w:tab w:val="clear" w:pos="720"/>
                <w:tab w:val="left" w:pos="6750" w:leader="none"/>
                <w:tab w:val="left" w:pos="6840" w:leader="none"/>
              </w:tabs>
              <w:spacing w:before="80" w:after="80"/>
              <w:rPr>
                <w:b/>
                <w:sz w:val="22"/>
              </w:rPr>
            </w:pPr>
            <w:r>
              <w:rPr>
                <w:b/>
                <w:sz w:val="22"/>
              </w:rPr>
              <w:t>Date:</w:t>
            </w:r>
          </w:p>
        </w:tc>
      </w:tr>
      <w:tr>
        <w:trPr/>
        <w:tc>
          <w:tcPr>
            <w:tcW w:w="7218" w:type="dxa"/>
            <w:tcBorders>
              <w:top w:val="single" w:sz="6" w:space="0" w:color="000000"/>
              <w:bottom w:val="single" w:sz="6" w:space="0" w:color="000000"/>
            </w:tcBorders>
          </w:tcPr>
          <w:p>
            <w:pPr>
              <w:pStyle w:val="Normal"/>
              <w:tabs>
                <w:tab w:val="clear" w:pos="720"/>
                <w:tab w:val="left" w:pos="6750" w:leader="none"/>
              </w:tabs>
              <w:spacing w:before="80" w:after="80"/>
              <w:rPr>
                <w:b/>
                <w:sz w:val="22"/>
              </w:rPr>
            </w:pPr>
            <w:r>
              <w:rPr>
                <w:b/>
                <w:sz w:val="22"/>
              </w:rPr>
              <w:t>STRUCTURING:</w:t>
            </w:r>
          </w:p>
        </w:tc>
        <w:tc>
          <w:tcPr>
            <w:tcW w:w="270" w:type="dxa"/>
            <w:tcBorders/>
          </w:tcPr>
          <w:p>
            <w:pPr>
              <w:pStyle w:val="Normal"/>
              <w:tabs>
                <w:tab w:val="clear" w:pos="720"/>
                <w:tab w:val="left" w:pos="6750" w:leader="none"/>
              </w:tabs>
              <w:snapToGrid w:val="false"/>
              <w:spacing w:before="80" w:after="80"/>
              <w:rPr>
                <w:b/>
                <w:sz w:val="22"/>
              </w:rPr>
            </w:pPr>
            <w:r>
              <w:rPr>
                <w:b/>
                <w:sz w:val="22"/>
              </w:rPr>
            </w:r>
          </w:p>
        </w:tc>
        <w:tc>
          <w:tcPr>
            <w:tcW w:w="2520" w:type="dxa"/>
            <w:tcBorders>
              <w:top w:val="single" w:sz="6" w:space="0" w:color="000000"/>
              <w:bottom w:val="single" w:sz="6" w:space="0" w:color="000000"/>
            </w:tcBorders>
          </w:tcPr>
          <w:p>
            <w:pPr>
              <w:pStyle w:val="Normal"/>
              <w:tabs>
                <w:tab w:val="clear" w:pos="720"/>
                <w:tab w:val="left" w:pos="6750" w:leader="none"/>
              </w:tabs>
              <w:spacing w:before="80" w:after="80"/>
              <w:rPr>
                <w:b/>
                <w:sz w:val="22"/>
              </w:rPr>
            </w:pPr>
            <w:r>
              <w:rPr>
                <w:b/>
                <w:sz w:val="22"/>
              </w:rPr>
              <w:t>Date:</w:t>
            </w:r>
          </w:p>
        </w:tc>
      </w:tr>
      <w:tr>
        <w:trPr/>
        <w:tc>
          <w:tcPr>
            <w:tcW w:w="7218" w:type="dxa"/>
            <w:tcBorders/>
          </w:tcPr>
          <w:p>
            <w:pPr>
              <w:pStyle w:val="Normal"/>
              <w:tabs>
                <w:tab w:val="clear" w:pos="720"/>
                <w:tab w:val="left" w:pos="270" w:leader="none"/>
                <w:tab w:val="left" w:pos="6750" w:leader="none"/>
              </w:tabs>
              <w:spacing w:before="40" w:after="0"/>
              <w:rPr>
                <w:b/>
                <w:sz w:val="22"/>
              </w:rPr>
            </w:pPr>
            <w:r>
              <w:rPr>
                <w:b/>
                <w:sz w:val="18"/>
              </w:rPr>
              <w:tab/>
            </w:r>
            <w:r>
              <w:rPr>
                <w:i/>
                <w:sz w:val="18"/>
              </w:rPr>
              <w:t>(Dwayne Hart)</w:t>
            </w:r>
          </w:p>
          <w:p>
            <w:pPr>
              <w:pStyle w:val="Normal"/>
              <w:tabs>
                <w:tab w:val="clear" w:pos="720"/>
                <w:tab w:val="left" w:pos="6750" w:leader="none"/>
              </w:tabs>
              <w:spacing w:before="40" w:after="0"/>
              <w:rPr>
                <w:b/>
                <w:sz w:val="22"/>
              </w:rPr>
            </w:pPr>
            <w:r>
              <w:rPr>
                <w:b/>
                <w:sz w:val="22"/>
              </w:rPr>
              <w:t>CREDIT/TREASURY:</w:t>
            </w:r>
          </w:p>
        </w:tc>
        <w:tc>
          <w:tcPr>
            <w:tcW w:w="270" w:type="dxa"/>
            <w:tcBorders/>
          </w:tcPr>
          <w:p>
            <w:pPr>
              <w:pStyle w:val="Normal"/>
              <w:tabs>
                <w:tab w:val="clear" w:pos="720"/>
                <w:tab w:val="left" w:pos="6750" w:leader="none"/>
                <w:tab w:val="left" w:pos="6840" w:leader="none"/>
              </w:tabs>
              <w:snapToGrid w:val="false"/>
              <w:spacing w:before="0" w:after="40"/>
              <w:rPr>
                <w:b/>
                <w:sz w:val="22"/>
              </w:rPr>
            </w:pPr>
            <w:r>
              <w:rPr>
                <w:b/>
                <w:sz w:val="22"/>
              </w:rPr>
            </w:r>
          </w:p>
        </w:tc>
        <w:tc>
          <w:tcPr>
            <w:tcW w:w="2520" w:type="dxa"/>
            <w:tcBorders/>
          </w:tcPr>
          <w:p>
            <w:pPr>
              <w:pStyle w:val="Normal"/>
              <w:tabs>
                <w:tab w:val="clear" w:pos="720"/>
                <w:tab w:val="left" w:pos="6750" w:leader="none"/>
                <w:tab w:val="left" w:pos="6840" w:leader="none"/>
              </w:tabs>
              <w:snapToGrid w:val="false"/>
              <w:spacing w:before="0" w:after="40"/>
              <w:rPr>
                <w:b/>
                <w:sz w:val="22"/>
              </w:rPr>
            </w:pPr>
            <w:r>
              <w:rPr>
                <w:b/>
                <w:sz w:val="22"/>
              </w:rPr>
            </w:r>
          </w:p>
        </w:tc>
      </w:tr>
      <w:tr>
        <w:trPr/>
        <w:tc>
          <w:tcPr>
            <w:tcW w:w="7218" w:type="dxa"/>
            <w:tcBorders/>
          </w:tcPr>
          <w:p>
            <w:pPr>
              <w:pStyle w:val="Normal"/>
              <w:tabs>
                <w:tab w:val="clear" w:pos="720"/>
                <w:tab w:val="left" w:pos="270" w:leader="none"/>
                <w:tab w:val="left" w:pos="6750" w:leader="none"/>
              </w:tabs>
              <w:spacing w:before="0" w:after="40"/>
              <w:rPr>
                <w:b/>
                <w:sz w:val="18"/>
              </w:rPr>
            </w:pPr>
            <w:r>
              <w:rPr>
                <w:b/>
                <w:sz w:val="18"/>
              </w:rPr>
              <w:tab/>
              <w:t>Comments:</w:t>
            </w:r>
          </w:p>
          <w:p>
            <w:pPr>
              <w:pStyle w:val="Normal"/>
              <w:tabs>
                <w:tab w:val="clear" w:pos="720"/>
                <w:tab w:val="left" w:pos="6750" w:leader="none"/>
              </w:tabs>
              <w:spacing w:before="0" w:after="40"/>
              <w:rPr>
                <w:b/>
                <w:sz w:val="22"/>
              </w:rPr>
            </w:pPr>
            <w:r>
              <w:rPr>
                <w:b/>
                <w:sz w:val="22"/>
              </w:rPr>
            </w:r>
          </w:p>
        </w:tc>
        <w:tc>
          <w:tcPr>
            <w:tcW w:w="270" w:type="dxa"/>
            <w:tcBorders/>
          </w:tcPr>
          <w:p>
            <w:pPr>
              <w:pStyle w:val="Normal"/>
              <w:tabs>
                <w:tab w:val="clear" w:pos="720"/>
                <w:tab w:val="left" w:pos="6750" w:leader="none"/>
                <w:tab w:val="left" w:pos="6840" w:leader="none"/>
              </w:tabs>
              <w:snapToGrid w:val="false"/>
              <w:spacing w:before="0" w:after="40"/>
              <w:rPr>
                <w:b/>
                <w:sz w:val="22"/>
              </w:rPr>
            </w:pPr>
            <w:r>
              <w:rPr>
                <w:b/>
                <w:sz w:val="22"/>
              </w:rPr>
            </w:r>
          </w:p>
        </w:tc>
        <w:tc>
          <w:tcPr>
            <w:tcW w:w="2520" w:type="dxa"/>
            <w:tcBorders/>
          </w:tcPr>
          <w:p>
            <w:pPr>
              <w:pStyle w:val="Normal"/>
              <w:tabs>
                <w:tab w:val="clear" w:pos="720"/>
                <w:tab w:val="left" w:pos="6750" w:leader="none"/>
                <w:tab w:val="left" w:pos="6840" w:leader="none"/>
              </w:tabs>
              <w:snapToGrid w:val="false"/>
              <w:spacing w:before="0" w:after="40"/>
              <w:rPr>
                <w:b/>
                <w:sz w:val="16"/>
              </w:rPr>
            </w:pPr>
            <w:r>
              <w:rPr>
                <w:b/>
                <w:sz w:val="16"/>
              </w:rPr>
            </w:r>
          </w:p>
          <w:p>
            <w:pPr>
              <w:pStyle w:val="Normal"/>
              <w:tabs>
                <w:tab w:val="clear" w:pos="720"/>
                <w:tab w:val="left" w:pos="6750" w:leader="none"/>
                <w:tab w:val="left" w:pos="6840" w:leader="none"/>
              </w:tabs>
              <w:spacing w:before="0" w:after="40"/>
              <w:rPr>
                <w:b/>
                <w:sz w:val="22"/>
              </w:rPr>
            </w:pPr>
            <w:r>
              <w:rPr>
                <w:b/>
                <w:sz w:val="22"/>
              </w:rPr>
              <w:t>Date:</w:t>
            </w:r>
          </w:p>
        </w:tc>
      </w:tr>
      <w:tr>
        <w:trPr/>
        <w:tc>
          <w:tcPr>
            <w:tcW w:w="7218" w:type="dxa"/>
            <w:tcBorders>
              <w:top w:val="single" w:sz="6" w:space="0" w:color="000000"/>
            </w:tcBorders>
          </w:tcPr>
          <w:p>
            <w:pPr>
              <w:pStyle w:val="Normal"/>
              <w:tabs>
                <w:tab w:val="clear" w:pos="720"/>
                <w:tab w:val="left" w:pos="6750" w:leader="none"/>
              </w:tabs>
              <w:spacing w:before="40" w:after="0"/>
              <w:rPr>
                <w:b/>
                <w:sz w:val="22"/>
              </w:rPr>
            </w:pPr>
            <w:r>
              <w:rPr>
                <w:b/>
                <w:sz w:val="22"/>
              </w:rPr>
              <w:t>LEGAL:</w:t>
            </w:r>
            <w:r>
              <w:rPr>
                <w:b/>
                <w:sz w:val="18"/>
              </w:rPr>
              <w:t xml:space="preserve"> </w:t>
            </w:r>
          </w:p>
        </w:tc>
        <w:tc>
          <w:tcPr>
            <w:tcW w:w="270" w:type="dxa"/>
            <w:tcBorders/>
          </w:tcPr>
          <w:p>
            <w:pPr>
              <w:pStyle w:val="Normal"/>
              <w:tabs>
                <w:tab w:val="clear" w:pos="720"/>
                <w:tab w:val="left" w:pos="6750" w:leader="none"/>
              </w:tabs>
              <w:snapToGrid w:val="false"/>
              <w:spacing w:before="40" w:after="40"/>
              <w:rPr>
                <w:b/>
                <w:sz w:val="22"/>
              </w:rPr>
            </w:pPr>
            <w:r>
              <w:rPr>
                <w:b/>
                <w:sz w:val="22"/>
              </w:rPr>
            </w:r>
          </w:p>
        </w:tc>
        <w:tc>
          <w:tcPr>
            <w:tcW w:w="2520" w:type="dxa"/>
            <w:tcBorders>
              <w:top w:val="single" w:sz="6" w:space="0" w:color="000000"/>
            </w:tcBorders>
          </w:tcPr>
          <w:p>
            <w:pPr>
              <w:pStyle w:val="Normal"/>
              <w:tabs>
                <w:tab w:val="clear" w:pos="720"/>
                <w:tab w:val="left" w:pos="6750" w:leader="none"/>
              </w:tabs>
              <w:snapToGrid w:val="false"/>
              <w:spacing w:before="40" w:after="40"/>
              <w:rPr>
                <w:b/>
                <w:sz w:val="22"/>
              </w:rPr>
            </w:pPr>
            <w:r>
              <w:rPr>
                <w:b/>
                <w:sz w:val="22"/>
              </w:rPr>
            </w:r>
          </w:p>
        </w:tc>
      </w:tr>
      <w:tr>
        <w:trPr/>
        <w:tc>
          <w:tcPr>
            <w:tcW w:w="7218" w:type="dxa"/>
            <w:tcBorders/>
          </w:tcPr>
          <w:p>
            <w:pPr>
              <w:pStyle w:val="Normal"/>
              <w:tabs>
                <w:tab w:val="clear" w:pos="720"/>
                <w:tab w:val="left" w:pos="270" w:leader="none"/>
                <w:tab w:val="left" w:pos="6750" w:leader="none"/>
              </w:tabs>
              <w:spacing w:before="0" w:after="40"/>
              <w:rPr>
                <w:b/>
                <w:sz w:val="18"/>
              </w:rPr>
            </w:pPr>
            <w:r>
              <w:rPr>
                <w:b/>
                <w:sz w:val="18"/>
              </w:rPr>
              <w:tab/>
              <w:t>Comments:</w:t>
            </w:r>
          </w:p>
          <w:p>
            <w:pPr>
              <w:pStyle w:val="Normal"/>
              <w:tabs>
                <w:tab w:val="clear" w:pos="720"/>
                <w:tab w:val="left" w:pos="6750" w:leader="none"/>
              </w:tabs>
              <w:spacing w:before="0" w:after="40"/>
              <w:rPr>
                <w:b/>
                <w:sz w:val="22"/>
              </w:rPr>
            </w:pPr>
            <w:r>
              <w:rPr>
                <w:b/>
                <w:sz w:val="22"/>
              </w:rPr>
            </w:r>
          </w:p>
        </w:tc>
        <w:tc>
          <w:tcPr>
            <w:tcW w:w="270" w:type="dxa"/>
            <w:tcBorders/>
          </w:tcPr>
          <w:p>
            <w:pPr>
              <w:pStyle w:val="Normal"/>
              <w:tabs>
                <w:tab w:val="clear" w:pos="720"/>
                <w:tab w:val="left" w:pos="6750" w:leader="none"/>
              </w:tabs>
              <w:snapToGrid w:val="false"/>
              <w:spacing w:before="40" w:after="40"/>
              <w:rPr>
                <w:b/>
                <w:sz w:val="22"/>
              </w:rPr>
            </w:pPr>
            <w:r>
              <w:rPr>
                <w:b/>
                <w:sz w:val="22"/>
              </w:rPr>
            </w:r>
          </w:p>
        </w:tc>
        <w:tc>
          <w:tcPr>
            <w:tcW w:w="2520" w:type="dxa"/>
            <w:tcBorders/>
          </w:tcPr>
          <w:p>
            <w:pPr>
              <w:pStyle w:val="Normal"/>
              <w:tabs>
                <w:tab w:val="clear" w:pos="720"/>
                <w:tab w:val="left" w:pos="6750" w:leader="none"/>
              </w:tabs>
              <w:snapToGrid w:val="false"/>
              <w:spacing w:before="40" w:after="40"/>
              <w:rPr>
                <w:b/>
                <w:sz w:val="16"/>
              </w:rPr>
            </w:pPr>
            <w:r>
              <w:rPr>
                <w:b/>
                <w:sz w:val="16"/>
              </w:rPr>
            </w:r>
          </w:p>
          <w:p>
            <w:pPr>
              <w:pStyle w:val="Normal"/>
              <w:tabs>
                <w:tab w:val="clear" w:pos="720"/>
                <w:tab w:val="left" w:pos="6750" w:leader="none"/>
              </w:tabs>
              <w:spacing w:before="40" w:after="40"/>
              <w:rPr>
                <w:b/>
                <w:sz w:val="22"/>
              </w:rPr>
            </w:pPr>
            <w:r>
              <w:rPr>
                <w:b/>
                <w:sz w:val="22"/>
              </w:rPr>
              <w:t>Date:</w:t>
            </w:r>
          </w:p>
        </w:tc>
      </w:tr>
      <w:tr>
        <w:trPr/>
        <w:tc>
          <w:tcPr>
            <w:tcW w:w="7218" w:type="dxa"/>
            <w:tcBorders>
              <w:top w:val="single" w:sz="6" w:space="0" w:color="000000"/>
            </w:tcBorders>
          </w:tcPr>
          <w:p>
            <w:pPr>
              <w:pStyle w:val="Normal"/>
              <w:tabs>
                <w:tab w:val="clear" w:pos="720"/>
                <w:tab w:val="left" w:pos="6750" w:leader="none"/>
                <w:tab w:val="left" w:pos="6840" w:leader="none"/>
              </w:tabs>
              <w:spacing w:before="40" w:after="40"/>
              <w:rPr>
                <w:b/>
                <w:sz w:val="18"/>
              </w:rPr>
            </w:pPr>
            <w:r>
              <w:rPr>
                <w:b/>
                <w:sz w:val="22"/>
              </w:rPr>
              <w:t>TRANSACTION SUPPORT/ACTG:</w:t>
            </w:r>
          </w:p>
        </w:tc>
        <w:tc>
          <w:tcPr>
            <w:tcW w:w="270" w:type="dxa"/>
            <w:tcBorders/>
          </w:tcPr>
          <w:p>
            <w:pPr>
              <w:pStyle w:val="Normal"/>
              <w:tabs>
                <w:tab w:val="clear" w:pos="720"/>
                <w:tab w:val="left" w:pos="6750" w:leader="none"/>
                <w:tab w:val="left" w:pos="6840" w:leader="none"/>
              </w:tabs>
              <w:snapToGrid w:val="false"/>
              <w:spacing w:before="40" w:after="40"/>
              <w:rPr>
                <w:b/>
                <w:sz w:val="22"/>
              </w:rPr>
            </w:pPr>
            <w:r>
              <w:rPr>
                <w:b/>
                <w:sz w:val="22"/>
              </w:rPr>
            </w:r>
          </w:p>
        </w:tc>
        <w:tc>
          <w:tcPr>
            <w:tcW w:w="2520" w:type="dxa"/>
            <w:tcBorders>
              <w:top w:val="single" w:sz="6" w:space="0" w:color="000000"/>
            </w:tcBorders>
          </w:tcPr>
          <w:p>
            <w:pPr>
              <w:pStyle w:val="Normal"/>
              <w:tabs>
                <w:tab w:val="clear" w:pos="720"/>
                <w:tab w:val="left" w:pos="6750" w:leader="none"/>
                <w:tab w:val="left" w:pos="6840" w:leader="none"/>
              </w:tabs>
              <w:spacing w:before="40" w:after="40"/>
              <w:rPr>
                <w:b/>
                <w:sz w:val="22"/>
              </w:rPr>
            </w:pPr>
            <w:r>
              <w:rPr>
                <w:b/>
                <w:sz w:val="22"/>
              </w:rPr>
              <w:t>Date:</w:t>
            </w:r>
          </w:p>
        </w:tc>
      </w:tr>
      <w:tr>
        <w:trPr/>
        <w:tc>
          <w:tcPr>
            <w:tcW w:w="7218" w:type="dxa"/>
            <w:tcBorders>
              <w:top w:val="single" w:sz="6" w:space="0" w:color="000000"/>
              <w:bottom w:val="single" w:sz="6" w:space="0" w:color="000000"/>
            </w:tcBorders>
          </w:tcPr>
          <w:p>
            <w:pPr>
              <w:pStyle w:val="Normal"/>
              <w:tabs>
                <w:tab w:val="clear" w:pos="720"/>
                <w:tab w:val="left" w:pos="270" w:leader="none"/>
                <w:tab w:val="left" w:pos="6750" w:leader="none"/>
              </w:tabs>
              <w:spacing w:before="40" w:after="40"/>
              <w:rPr>
                <w:b/>
                <w:sz w:val="22"/>
              </w:rPr>
            </w:pPr>
            <w:r>
              <w:rPr>
                <w:b/>
                <w:sz w:val="18"/>
              </w:rPr>
              <w:tab/>
            </w:r>
            <w:r>
              <w:rPr>
                <w:i/>
                <w:sz w:val="18"/>
              </w:rPr>
              <w:t>(John Echols)</w:t>
            </w:r>
          </w:p>
          <w:p>
            <w:pPr>
              <w:pStyle w:val="Normal"/>
              <w:tabs>
                <w:tab w:val="clear" w:pos="720"/>
                <w:tab w:val="left" w:pos="6750" w:leader="none"/>
              </w:tabs>
              <w:spacing w:before="40" w:after="40"/>
              <w:rPr>
                <w:b/>
                <w:sz w:val="22"/>
              </w:rPr>
            </w:pPr>
            <w:r>
              <w:rPr>
                <w:b/>
                <w:sz w:val="22"/>
              </w:rPr>
              <w:t>EXECUTIVE:</w:t>
            </w:r>
          </w:p>
        </w:tc>
        <w:tc>
          <w:tcPr>
            <w:tcW w:w="270" w:type="dxa"/>
            <w:tcBorders/>
          </w:tcPr>
          <w:p>
            <w:pPr>
              <w:pStyle w:val="Normal"/>
              <w:tabs>
                <w:tab w:val="clear" w:pos="720"/>
                <w:tab w:val="left" w:pos="6750" w:leader="none"/>
              </w:tabs>
              <w:snapToGrid w:val="false"/>
              <w:spacing w:before="40" w:after="40"/>
              <w:rPr>
                <w:b/>
                <w:sz w:val="22"/>
              </w:rPr>
            </w:pPr>
            <w:r>
              <w:rPr>
                <w:b/>
                <w:sz w:val="22"/>
              </w:rPr>
            </w:r>
          </w:p>
        </w:tc>
        <w:tc>
          <w:tcPr>
            <w:tcW w:w="2520" w:type="dxa"/>
            <w:tcBorders>
              <w:top w:val="single" w:sz="6" w:space="0" w:color="000000"/>
              <w:bottom w:val="single" w:sz="6" w:space="0" w:color="000000"/>
            </w:tcBorders>
          </w:tcPr>
          <w:p>
            <w:pPr>
              <w:pStyle w:val="Normal"/>
              <w:tabs>
                <w:tab w:val="clear" w:pos="720"/>
                <w:tab w:val="left" w:pos="6750" w:leader="none"/>
              </w:tabs>
              <w:spacing w:before="40" w:after="0"/>
              <w:rPr>
                <w:b/>
                <w:sz w:val="22"/>
              </w:rPr>
            </w:pPr>
            <w:r>
              <w:rPr>
                <w:b/>
                <w:sz w:val="22"/>
              </w:rPr>
              <w:t>Date:</w:t>
            </w:r>
          </w:p>
        </w:tc>
      </w:tr>
      <w:tr>
        <w:trPr/>
        <w:tc>
          <w:tcPr>
            <w:tcW w:w="7218" w:type="dxa"/>
            <w:tcBorders/>
          </w:tcPr>
          <w:p>
            <w:pPr>
              <w:pStyle w:val="Normal"/>
              <w:tabs>
                <w:tab w:val="clear" w:pos="720"/>
                <w:tab w:val="left" w:pos="270" w:leader="none"/>
                <w:tab w:val="left" w:pos="6750" w:leader="none"/>
              </w:tabs>
              <w:rPr>
                <w:b/>
                <w:sz w:val="22"/>
              </w:rPr>
            </w:pPr>
            <w:r>
              <w:rPr>
                <w:b/>
                <w:sz w:val="18"/>
              </w:rPr>
              <w:tab/>
            </w:r>
            <w:r>
              <w:rPr>
                <w:i/>
                <w:sz w:val="18"/>
              </w:rPr>
              <w:t>(Managing Director under $10MM;  ECT CEO or Enron COO $10MM and above)</w:t>
            </w:r>
          </w:p>
        </w:tc>
        <w:tc>
          <w:tcPr>
            <w:tcW w:w="270" w:type="dxa"/>
            <w:tcBorders/>
          </w:tcPr>
          <w:p>
            <w:pPr>
              <w:pStyle w:val="Normal"/>
              <w:tabs>
                <w:tab w:val="clear" w:pos="720"/>
                <w:tab w:val="left" w:pos="6750" w:leader="none"/>
              </w:tabs>
              <w:snapToGrid w:val="false"/>
              <w:spacing w:before="40" w:after="0"/>
              <w:rPr>
                <w:b/>
                <w:sz w:val="22"/>
              </w:rPr>
            </w:pPr>
            <w:r>
              <w:rPr>
                <w:b/>
                <w:sz w:val="22"/>
              </w:rPr>
            </w:r>
          </w:p>
        </w:tc>
        <w:tc>
          <w:tcPr>
            <w:tcW w:w="2520" w:type="dxa"/>
            <w:tcBorders/>
          </w:tcPr>
          <w:p>
            <w:pPr>
              <w:pStyle w:val="Normal"/>
              <w:tabs>
                <w:tab w:val="clear" w:pos="720"/>
                <w:tab w:val="left" w:pos="6750" w:leader="none"/>
              </w:tabs>
              <w:snapToGrid w:val="false"/>
              <w:spacing w:before="40" w:after="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6750" w:leader="none"/>
              </w:tabs>
              <w:spacing w:before="40" w:after="0"/>
              <w:rPr>
                <w:b/>
                <w:sz w:val="22"/>
              </w:rPr>
            </w:pPr>
            <w:r>
              <w:rPr>
                <w:b/>
                <w:sz w:val="22"/>
              </w:rPr>
              <w:t>CORPORATE:</w:t>
            </w:r>
          </w:p>
        </w:tc>
        <w:tc>
          <w:tcPr>
            <w:tcW w:w="270" w:type="dxa"/>
            <w:tcBorders/>
          </w:tcPr>
          <w:p>
            <w:pPr>
              <w:pStyle w:val="Normal"/>
              <w:tabs>
                <w:tab w:val="clear" w:pos="720"/>
                <w:tab w:val="left" w:pos="270" w:leader="none"/>
                <w:tab w:val="left" w:pos="6750" w:leader="none"/>
              </w:tabs>
              <w:snapToGrid w:val="false"/>
              <w:spacing w:before="40" w:after="0"/>
              <w:rPr>
                <w:b/>
                <w:sz w:val="22"/>
              </w:rPr>
            </w:pPr>
            <w:r>
              <w:rPr>
                <w:b/>
                <w:sz w:val="22"/>
              </w:rPr>
            </w:r>
          </w:p>
        </w:tc>
        <w:tc>
          <w:tcPr>
            <w:tcW w:w="2520" w:type="dxa"/>
            <w:tcBorders>
              <w:bottom w:val="single" w:sz="6" w:space="0" w:color="000000"/>
            </w:tcBorders>
          </w:tcPr>
          <w:p>
            <w:pPr>
              <w:pStyle w:val="Normal"/>
              <w:tabs>
                <w:tab w:val="clear" w:pos="720"/>
                <w:tab w:val="left" w:pos="270" w:leader="none"/>
                <w:tab w:val="left" w:pos="6750" w:leader="none"/>
              </w:tabs>
              <w:spacing w:before="40" w:after="0"/>
              <w:rPr>
                <w:b/>
                <w:sz w:val="22"/>
              </w:rPr>
            </w:pPr>
            <w:r>
              <w:rPr>
                <w:b/>
                <w:sz w:val="22"/>
              </w:rPr>
              <w:t>Date:</w:t>
            </w:r>
          </w:p>
        </w:tc>
      </w:tr>
      <w:tr>
        <w:trPr/>
        <w:tc>
          <w:tcPr>
            <w:tcW w:w="7218" w:type="dxa"/>
            <w:tcBorders/>
          </w:tcPr>
          <w:p>
            <w:pPr>
              <w:pStyle w:val="Normal"/>
              <w:tabs>
                <w:tab w:val="clear" w:pos="720"/>
                <w:tab w:val="left" w:pos="270" w:leader="none"/>
                <w:tab w:val="left" w:pos="6750" w:leader="none"/>
              </w:tabs>
              <w:rPr>
                <w:b/>
                <w:sz w:val="22"/>
              </w:rPr>
            </w:pPr>
            <w:r>
              <w:rPr>
                <w:i/>
                <w:sz w:val="18"/>
              </w:rPr>
              <w:tab/>
              <w:t>(Required for Guarantee)</w:t>
            </w:r>
          </w:p>
        </w:tc>
        <w:tc>
          <w:tcPr>
            <w:tcW w:w="270" w:type="dxa"/>
            <w:tcBorders/>
          </w:tcPr>
          <w:p>
            <w:pPr>
              <w:pStyle w:val="Normal"/>
              <w:tabs>
                <w:tab w:val="clear" w:pos="720"/>
                <w:tab w:val="left" w:pos="270" w:leader="none"/>
                <w:tab w:val="left" w:pos="6750" w:leader="none"/>
              </w:tabs>
              <w:snapToGrid w:val="false"/>
              <w:spacing w:before="40" w:after="0"/>
              <w:rPr>
                <w:b/>
                <w:sz w:val="22"/>
              </w:rPr>
            </w:pPr>
            <w:r>
              <w:rPr>
                <w:b/>
                <w:sz w:val="22"/>
              </w:rPr>
            </w:r>
          </w:p>
        </w:tc>
        <w:tc>
          <w:tcPr>
            <w:tcW w:w="2520" w:type="dxa"/>
            <w:tcBorders/>
          </w:tcPr>
          <w:p>
            <w:pPr>
              <w:pStyle w:val="Normal"/>
              <w:tabs>
                <w:tab w:val="clear" w:pos="720"/>
                <w:tab w:val="left" w:pos="270" w:leader="none"/>
                <w:tab w:val="left" w:pos="6750" w:leader="none"/>
              </w:tabs>
              <w:snapToGrid w:val="false"/>
              <w:spacing w:before="40" w:after="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360" w:leader="none"/>
                <w:tab w:val="left" w:pos="6750" w:leader="none"/>
              </w:tabs>
              <w:spacing w:before="40" w:after="0"/>
              <w:rPr>
                <w:b/>
                <w:sz w:val="22"/>
              </w:rPr>
            </w:pPr>
            <w:r>
              <w:rPr>
                <w:b/>
                <w:sz w:val="22"/>
              </w:rPr>
              <w:t>EQUITY INTEREST:</w:t>
            </w:r>
          </w:p>
        </w:tc>
        <w:tc>
          <w:tcPr>
            <w:tcW w:w="270" w:type="dxa"/>
            <w:tcBorders/>
          </w:tcPr>
          <w:p>
            <w:pPr>
              <w:pStyle w:val="Normal"/>
              <w:tabs>
                <w:tab w:val="clear" w:pos="720"/>
                <w:tab w:val="left" w:pos="6750" w:leader="none"/>
              </w:tabs>
              <w:snapToGrid w:val="false"/>
              <w:spacing w:before="40" w:after="0"/>
              <w:rPr>
                <w:b/>
                <w:sz w:val="22"/>
              </w:rPr>
            </w:pPr>
            <w:r>
              <w:rPr>
                <w:b/>
                <w:sz w:val="22"/>
              </w:rPr>
            </w:r>
          </w:p>
        </w:tc>
        <w:tc>
          <w:tcPr>
            <w:tcW w:w="2520" w:type="dxa"/>
            <w:tcBorders>
              <w:bottom w:val="single" w:sz="6" w:space="0" w:color="000000"/>
            </w:tcBorders>
          </w:tcPr>
          <w:p>
            <w:pPr>
              <w:pStyle w:val="Normal"/>
              <w:tabs>
                <w:tab w:val="clear" w:pos="720"/>
                <w:tab w:val="left" w:pos="6750" w:leader="none"/>
              </w:tabs>
              <w:spacing w:before="40" w:after="0"/>
              <w:rPr>
                <w:b/>
                <w:sz w:val="22"/>
              </w:rPr>
            </w:pPr>
            <w:r>
              <w:rPr>
                <w:b/>
                <w:sz w:val="22"/>
              </w:rPr>
              <w:t>Date:</w:t>
            </w:r>
          </w:p>
        </w:tc>
      </w:tr>
      <w:tr>
        <w:trPr/>
        <w:tc>
          <w:tcPr>
            <w:tcW w:w="7218" w:type="dxa"/>
            <w:tcBorders/>
          </w:tcPr>
          <w:p>
            <w:pPr>
              <w:pStyle w:val="Normal"/>
              <w:tabs>
                <w:tab w:val="clear" w:pos="720"/>
                <w:tab w:val="left" w:pos="270" w:leader="none"/>
                <w:tab w:val="left" w:pos="6750" w:leader="none"/>
              </w:tabs>
              <w:spacing w:before="0" w:after="40"/>
              <w:rPr>
                <w:b/>
                <w:sz w:val="18"/>
              </w:rPr>
            </w:pPr>
            <w:r>
              <w:rPr>
                <w:b/>
                <w:sz w:val="18"/>
              </w:rPr>
              <w:tab/>
            </w:r>
            <w:r>
              <w:rPr>
                <w:i/>
                <w:sz w:val="18"/>
              </w:rPr>
              <w:t>(Managing Director under $5MM;  ECT CEO or Enron COO $5MM - $10MM)</w:t>
            </w:r>
          </w:p>
        </w:tc>
        <w:tc>
          <w:tcPr>
            <w:tcW w:w="270" w:type="dxa"/>
            <w:tcBorders/>
          </w:tcPr>
          <w:p>
            <w:pPr>
              <w:pStyle w:val="Normal"/>
              <w:tabs>
                <w:tab w:val="clear" w:pos="720"/>
                <w:tab w:val="left" w:pos="6750" w:leader="none"/>
              </w:tabs>
              <w:snapToGrid w:val="false"/>
              <w:spacing w:before="40" w:after="0"/>
              <w:rPr>
                <w:b/>
                <w:sz w:val="22"/>
              </w:rPr>
            </w:pPr>
            <w:r>
              <w:rPr>
                <w:b/>
                <w:sz w:val="22"/>
              </w:rPr>
            </w:r>
          </w:p>
        </w:tc>
        <w:tc>
          <w:tcPr>
            <w:tcW w:w="2520" w:type="dxa"/>
            <w:tcBorders/>
          </w:tcPr>
          <w:p>
            <w:pPr>
              <w:pStyle w:val="Normal"/>
              <w:tabs>
                <w:tab w:val="clear" w:pos="720"/>
                <w:tab w:val="left" w:pos="6750" w:leader="none"/>
              </w:tabs>
              <w:snapToGrid w:val="false"/>
              <w:spacing w:before="40" w:after="0"/>
              <w:rPr>
                <w:b/>
                <w:sz w:val="22"/>
              </w:rPr>
            </w:pPr>
            <w:r>
              <w:rPr>
                <w:b/>
                <w:sz w:val="22"/>
              </w:rPr>
            </w:r>
          </w:p>
        </w:tc>
      </w:tr>
      <w:tr>
        <w:trPr/>
        <w:tc>
          <w:tcPr>
            <w:tcW w:w="7218" w:type="dxa"/>
            <w:tcBorders>
              <w:bottom w:val="single" w:sz="6" w:space="0" w:color="000000"/>
            </w:tcBorders>
          </w:tcPr>
          <w:p>
            <w:pPr>
              <w:pStyle w:val="Normal"/>
              <w:tabs>
                <w:tab w:val="clear" w:pos="720"/>
                <w:tab w:val="left" w:pos="270" w:leader="none"/>
                <w:tab w:val="left" w:pos="6750" w:leader="none"/>
              </w:tabs>
              <w:spacing w:before="120" w:after="40"/>
              <w:rPr>
                <w:i/>
                <w:i/>
                <w:sz w:val="18"/>
              </w:rPr>
            </w:pPr>
            <w:r>
              <w:rPr>
                <w:b/>
                <w:sz w:val="18"/>
              </w:rPr>
              <w:t>Transaction Booked:</w:t>
            </w:r>
          </w:p>
        </w:tc>
        <w:tc>
          <w:tcPr>
            <w:tcW w:w="270" w:type="dxa"/>
            <w:tcBorders/>
          </w:tcPr>
          <w:p>
            <w:pPr>
              <w:pStyle w:val="Normal"/>
              <w:tabs>
                <w:tab w:val="clear" w:pos="720"/>
                <w:tab w:val="left" w:pos="270" w:leader="none"/>
                <w:tab w:val="left" w:pos="6750" w:leader="none"/>
              </w:tabs>
              <w:snapToGrid w:val="false"/>
              <w:spacing w:before="120" w:after="40"/>
              <w:rPr>
                <w:b/>
                <w:i/>
                <w:i/>
                <w:sz w:val="18"/>
              </w:rPr>
            </w:pPr>
            <w:r>
              <w:rPr>
                <w:b/>
                <w:i/>
                <w:sz w:val="18"/>
              </w:rPr>
            </w:r>
          </w:p>
        </w:tc>
        <w:tc>
          <w:tcPr>
            <w:tcW w:w="2520" w:type="dxa"/>
            <w:tcBorders>
              <w:bottom w:val="single" w:sz="6" w:space="0" w:color="000000"/>
            </w:tcBorders>
          </w:tcPr>
          <w:p>
            <w:pPr>
              <w:pStyle w:val="Normal"/>
              <w:tabs>
                <w:tab w:val="clear" w:pos="720"/>
                <w:tab w:val="left" w:pos="270" w:leader="none"/>
                <w:tab w:val="left" w:pos="6750" w:leader="none"/>
              </w:tabs>
              <w:spacing w:before="120" w:after="40"/>
              <w:rPr>
                <w:i/>
                <w:i/>
                <w:sz w:val="18"/>
              </w:rPr>
            </w:pPr>
            <w:r>
              <w:rPr>
                <w:b/>
                <w:sz w:val="18"/>
              </w:rPr>
              <w:t>Date</w:t>
            </w:r>
          </w:p>
        </w:tc>
      </w:tr>
    </w:tbl>
    <w:p>
      <w:pPr>
        <w:pStyle w:val="Normal"/>
        <w:tabs>
          <w:tab w:val="clear" w:pos="720"/>
          <w:tab w:val="left" w:pos="6750" w:leader="none"/>
        </w:tabs>
        <w:rPr>
          <w:sz w:val="16"/>
        </w:rPr>
      </w:pPr>
      <w:r>
        <w:rPr>
          <w:sz w:val="16"/>
        </w:rPr>
      </w:r>
    </w:p>
    <w:sectPr>
      <w:footerReference w:type="default" r:id="rId2"/>
      <w:type w:val="nextPage"/>
      <w:pgSz w:w="12240" w:h="15840"/>
      <w:pgMar w:left="720" w:right="72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r>
  </w:p>
  <w:p>
    <w:pPr>
      <w:pStyle w:val="Footer"/>
      <w:jc w:val="center"/>
      <w:rPr>
        <w:sz w:val="1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of </w:t>
    </w:r>
    <w:r>
      <w:fldChar w:fldCharType="begin"/>
    </w:r>
    <w:r>
      <w:rPr>
        <w:rStyle w:val="PageNumber"/>
        <w:lang w:val="en-CA"/>
      </w:rPr>
      <w:instrText xml:space="preserve"> SECTIONPAGES  \* MERGEFORMAT </w:instrText>
    </w:r>
    <w:r>
      <w:rPr>
        <w:rStyle w:val="PageNumber"/>
        <w:lang w:val="en-CA"/>
      </w:rPr>
    </w:r>
    <w:r>
      <w:rPr>
        <w:rStyle w:val="PageNumber"/>
        <w:lang w:val="en-CA"/>
      </w:rPr>
      <w:fldChar w:fldCharType="separate"/>
    </w:r>
    <w:r>
      <w:rPr>
        <w:rStyle w:val="PageNumber"/>
        <w:lang w:val="en-CA"/>
      </w:rPr>
      <w:t>2</w:t>
    </w:r>
    <w:r/>
    <w:r>
      <w:rPr>
        <w:rStyle w:val="PageNumber"/>
        <w:lang w:val="en-CA"/>
      </w:rPr>
      <w:fldChar w:fldCharType="end"/>
    </w:r>
    <w:r>
      <w:rPr>
        <w:rStyle w:val="PageNumber"/>
        <w:lang w:val="en-CA"/>
      </w:rPr>
    </w:r>
  </w:p>
  <w:p>
    <w:pPr>
      <w:pStyle w:val="Footer"/>
      <w:rPr>
        <w:sz w:val="16"/>
      </w:rPr>
    </w:pPr>
    <w:r>
      <w:rPr>
        <w:sz w:val="16"/>
      </w:rPr>
      <w:t>Rev.  04/21/97</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App_orig</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2000-10-26T21:17:00Z</dcterms:created>
  <dc:creator>tbarth</dc:creator>
  <dc:description/>
  <dc:language>en-CA</dc:language>
  <cp:lastModifiedBy>gweissm</cp:lastModifiedBy>
  <cp:lastPrinted>2000-10-26T19:35:00Z</cp:lastPrinted>
  <dcterms:modified xsi:type="dcterms:W3CDTF">2000-10-26T22:09:00Z</dcterms:modified>
  <cp:revision>7</cp:revision>
  <dc:subject/>
  <dc:title>ENRON CAPITAL &amp; TRADE RESOURCES</dc:title>
</cp:coreProperties>
</file>