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4"/>
        </w:rPr>
      </w:pPr>
      <w:r>
        <w:rPr>
          <w:b/>
          <w:sz w:val="24"/>
          <w:u w:val="single"/>
        </w:rPr>
        <w:t xml:space="preserve">DELIVERY POINT CONSTRUCTION </w:t>
      </w:r>
      <w:r>
        <w:rPr>
          <w:b/>
          <w:caps/>
          <w:sz w:val="24"/>
          <w:u w:val="single"/>
        </w:rPr>
        <w:t>and</w:t>
      </w:r>
      <w:r>
        <w:rPr>
          <w:b/>
          <w:sz w:val="24"/>
          <w:u w:val="single"/>
        </w:rPr>
        <w:t xml:space="preserve"> OPERATIONS AGREEMENT</w:t>
      </w:r>
    </w:p>
    <w:p>
      <w:pPr>
        <w:pStyle w:val="Normal"/>
        <w:widowControl/>
        <w:rPr>
          <w:sz w:val="24"/>
        </w:rPr>
      </w:pPr>
      <w:r>
        <w:rPr>
          <w:sz w:val="24"/>
        </w:rPr>
      </w:r>
    </w:p>
    <w:p>
      <w:pPr>
        <w:pStyle w:val="Normal"/>
        <w:widowControl/>
        <w:rPr>
          <w:sz w:val="24"/>
        </w:rPr>
      </w:pPr>
      <w:r>
        <w:rPr>
          <w:sz w:val="24"/>
        </w:rPr>
      </w:r>
    </w:p>
    <w:p>
      <w:pPr>
        <w:pStyle w:val="Normal"/>
        <w:widowControl/>
        <w:jc w:val="both"/>
        <w:rPr/>
      </w:pPr>
      <w:r>
        <w:rPr>
          <w:sz w:val="24"/>
        </w:rPr>
        <w:tab/>
        <w:t xml:space="preserve">THIS AGREEMENT is made and entered into this ____ day of ______________, 2001, by and between </w:t>
      </w:r>
      <w:r>
        <w:rPr>
          <w:b/>
          <w:sz w:val="24"/>
        </w:rPr>
        <w:t>TRANSWESTERN PIPELINE COMPANY</w:t>
      </w:r>
      <w:r>
        <w:rPr>
          <w:sz w:val="24"/>
        </w:rPr>
        <w:t xml:space="preserve">, a Delaware corporation  (“Transwestern”), and </w:t>
      </w:r>
      <w:r>
        <w:rPr>
          <w:b/>
          <w:sz w:val="24"/>
        </w:rPr>
        <w:t>BIG SANDY, LLC</w:t>
      </w:r>
      <w:r>
        <w:rPr>
          <w:bCs/>
          <w:sz w:val="24"/>
        </w:rPr>
        <w:t>, a _______________ limited liability company</w:t>
      </w:r>
      <w:r>
        <w:rPr>
          <w:sz w:val="24"/>
        </w:rPr>
        <w:t xml:space="preserve"> (“Customer”) (collectively the “Parties” or each individually a “Party”).</w:t>
      </w:r>
    </w:p>
    <w:p>
      <w:pPr>
        <w:pStyle w:val="Normal"/>
        <w:widowControl/>
        <w:jc w:val="both"/>
        <w:rPr>
          <w:sz w:val="24"/>
        </w:rPr>
      </w:pPr>
      <w:r>
        <w:rPr>
          <w:sz w:val="24"/>
        </w:rPr>
      </w:r>
    </w:p>
    <w:p>
      <w:pPr>
        <w:pStyle w:val="Normal"/>
        <w:widowControl/>
        <w:jc w:val="center"/>
        <w:rPr/>
      </w:pPr>
      <w:r>
        <w:rPr>
          <w:b/>
          <w:sz w:val="24"/>
        </w:rPr>
        <w:t>WITNESSETH</w:t>
      </w:r>
      <w:r>
        <w:rPr>
          <w:sz w:val="24"/>
        </w:rPr>
        <w:t>:</w:t>
      </w:r>
    </w:p>
    <w:p>
      <w:pPr>
        <w:pStyle w:val="Normal"/>
        <w:widowControl/>
        <w:ind w:firstLine="720" w:end="0"/>
        <w:jc w:val="both"/>
        <w:rPr/>
      </w:pPr>
      <w:r>
        <w:rPr>
          <w:b/>
          <w:sz w:val="24"/>
        </w:rPr>
        <w:t>WHEREAS</w:t>
      </w:r>
      <w:r>
        <w:rPr>
          <w:sz w:val="24"/>
        </w:rPr>
        <w:t xml:space="preserve">, Transwestern has received a request from Customer to provide a pipeline delivery point to the Big Sandy, LLC lateral in Mohave County, Arizona, and to own and operate certain facilities as described herein; and </w:t>
      </w:r>
    </w:p>
    <w:p>
      <w:pPr>
        <w:pStyle w:val="Normal"/>
        <w:widowControl/>
        <w:ind w:firstLine="720" w:end="0"/>
        <w:jc w:val="both"/>
        <w:rPr>
          <w:b/>
          <w:sz w:val="24"/>
        </w:rPr>
      </w:pPr>
      <w:r>
        <w:rPr>
          <w:b/>
          <w:sz w:val="24"/>
        </w:rPr>
      </w:r>
    </w:p>
    <w:p>
      <w:pPr>
        <w:pStyle w:val="Normal"/>
        <w:widowControl/>
        <w:ind w:firstLine="720" w:end="0"/>
        <w:jc w:val="both"/>
        <w:rPr/>
      </w:pPr>
      <w:r>
        <w:rPr>
          <w:b/>
          <w:sz w:val="24"/>
        </w:rPr>
        <w:t>WHEREAS</w:t>
      </w:r>
      <w:r>
        <w:rPr>
          <w:sz w:val="24"/>
        </w:rPr>
        <w:t xml:space="preserve">, Transwestern has agreed to allow Customer to interconnect with Transwestern’s facilities to allow Transwestern to deliver gas to the Big Sandy, LLC's lateral in Mohave County, Arizona (“Big Sandy Lateral”); and </w:t>
      </w:r>
    </w:p>
    <w:p>
      <w:pPr>
        <w:pStyle w:val="Normal"/>
        <w:widowControl/>
        <w:ind w:firstLine="720" w:end="0"/>
        <w:jc w:val="both"/>
        <w:rPr>
          <w:sz w:val="24"/>
        </w:rPr>
      </w:pPr>
      <w:r>
        <w:rPr>
          <w:sz w:val="24"/>
        </w:rPr>
      </w:r>
    </w:p>
    <w:p>
      <w:pPr>
        <w:pStyle w:val="Normal"/>
        <w:widowControl/>
        <w:ind w:firstLine="720" w:end="0"/>
        <w:jc w:val="both"/>
        <w:rPr/>
      </w:pPr>
      <w:r>
        <w:rPr>
          <w:b/>
          <w:sz w:val="24"/>
        </w:rPr>
        <w:t>WHEREAS</w:t>
      </w:r>
      <w:r>
        <w:rPr>
          <w:sz w:val="24"/>
        </w:rPr>
        <w:t>, Transwestern and Customer desire to have Transwestern own certain facilities as described more fully herein, pursuant to the mutually agreed to terms and conditions described in this Agreement.</w:t>
      </w:r>
    </w:p>
    <w:p>
      <w:pPr>
        <w:pStyle w:val="Normal"/>
        <w:widowControl/>
        <w:jc w:val="both"/>
        <w:rPr>
          <w:sz w:val="24"/>
        </w:rPr>
      </w:pPr>
      <w:r>
        <w:rPr>
          <w:sz w:val="24"/>
        </w:rPr>
      </w:r>
    </w:p>
    <w:p>
      <w:pPr>
        <w:pStyle w:val="Normal"/>
        <w:widowControl/>
        <w:jc w:val="both"/>
        <w:rPr/>
      </w:pPr>
      <w:r>
        <w:rPr>
          <w:sz w:val="24"/>
        </w:rPr>
        <w:tab/>
      </w:r>
      <w:r>
        <w:rPr>
          <w:b/>
          <w:sz w:val="24"/>
        </w:rPr>
        <w:t>NOW THEREFORE</w:t>
      </w:r>
      <w:r>
        <w:rPr>
          <w:sz w:val="24"/>
        </w:rPr>
        <w:t>, in consideration of the mutual promises, covenants, and undertakings herein contained, the Parties do hereby agree as follows:</w:t>
      </w:r>
    </w:p>
    <w:p>
      <w:pPr>
        <w:pStyle w:val="Normal"/>
        <w:widowControl/>
        <w:rPr>
          <w:sz w:val="24"/>
        </w:rPr>
      </w:pPr>
      <w:r>
        <w:rPr>
          <w:sz w:val="24"/>
        </w:rPr>
      </w:r>
    </w:p>
    <w:p>
      <w:pPr>
        <w:pStyle w:val="Normal"/>
        <w:widowControl/>
        <w:jc w:val="center"/>
        <w:rPr>
          <w:b/>
          <w:sz w:val="24"/>
        </w:rPr>
      </w:pPr>
      <w:r>
        <w:rPr>
          <w:b/>
          <w:sz w:val="24"/>
        </w:rPr>
        <w:t>ARTICLE 1</w:t>
      </w:r>
    </w:p>
    <w:p>
      <w:pPr>
        <w:pStyle w:val="Normal"/>
        <w:widowControl/>
        <w:jc w:val="center"/>
        <w:rPr>
          <w:b/>
          <w:sz w:val="24"/>
        </w:rPr>
      </w:pPr>
      <w:r>
        <w:rPr>
          <w:b/>
          <w:sz w:val="24"/>
          <w:u w:val="single"/>
        </w:rPr>
        <w:t>DEFINITIONS</w:t>
      </w:r>
    </w:p>
    <w:p>
      <w:pPr>
        <w:pStyle w:val="Normal"/>
        <w:widowControl/>
        <w:rPr>
          <w:b/>
          <w:sz w:val="24"/>
        </w:rPr>
      </w:pPr>
      <w:r>
        <w:rPr>
          <w:b/>
          <w:sz w:val="24"/>
        </w:rPr>
      </w:r>
    </w:p>
    <w:p>
      <w:pPr>
        <w:pStyle w:val="Normal"/>
        <w:widowControl/>
        <w:numPr>
          <w:ilvl w:val="0"/>
          <w:numId w:val="5"/>
        </w:numPr>
        <w:ind w:hanging="720" w:start="720" w:end="0"/>
        <w:jc w:val="both"/>
        <w:rPr>
          <w:sz w:val="24"/>
        </w:rPr>
      </w:pPr>
      <w:r>
        <w:rPr>
          <w:sz w:val="24"/>
        </w:rPr>
        <w:t>“</w:t>
      </w:r>
      <w:r>
        <w:rPr>
          <w:sz w:val="24"/>
        </w:rPr>
        <w:t>Affiliate” shall mean, with respect to any Party, any other entity (other than an individual) that directly or indirectly controls, or is controlled by, or is under common control with such Party.</w:t>
      </w:r>
    </w:p>
    <w:p>
      <w:pPr>
        <w:pStyle w:val="Normal"/>
        <w:widowControl/>
        <w:numPr>
          <w:ilvl w:val="0"/>
          <w:numId w:val="0"/>
        </w:numPr>
        <w:ind w:hanging="0" w:start="0"/>
        <w:jc w:val="both"/>
        <w:rPr>
          <w:sz w:val="24"/>
        </w:rPr>
      </w:pPr>
      <w:r>
        <w:rPr>
          <w:sz w:val="24"/>
        </w:rPr>
      </w:r>
    </w:p>
    <w:p>
      <w:pPr>
        <w:pStyle w:val="Normal"/>
        <w:widowControl/>
        <w:numPr>
          <w:ilvl w:val="0"/>
          <w:numId w:val="5"/>
        </w:numPr>
        <w:ind w:hanging="720" w:start="720" w:end="0"/>
        <w:jc w:val="both"/>
        <w:rPr>
          <w:sz w:val="24"/>
        </w:rPr>
      </w:pPr>
      <w:r>
        <w:rPr>
          <w:sz w:val="24"/>
        </w:rPr>
        <w:t>“</w:t>
      </w:r>
      <w:r>
        <w:rPr>
          <w:sz w:val="24"/>
        </w:rPr>
        <w:t>Agreement” shall mean this Delivery Point Construction and Operations Agreement executed between Transwestern and Customer.</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1.3</w:t>
        <w:tab/>
        <w:t>“Business Day” shall mean Monday through Friday, excluding Federal Banking Holidays.</w:t>
      </w:r>
    </w:p>
    <w:p>
      <w:pPr>
        <w:pStyle w:val="Normal"/>
        <w:widowControl/>
        <w:ind w:hanging="720" w:start="720" w:end="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Day” shall mean a period of twenty-four (24) consecutive hours beginning and ending at 9:00 a.m. Central Clock Time.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Dekatherm (Dth)” shall mean the quantity of heat energy equivalent to 1,000,000 British Thermal Units.  One Dekatherm of gas shall mean the quantity of gas that contains one Dekatherm of heat energy.</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shall mean the interconnect of the Delivery Point Facilities in Mohave County, Arizona, where the Delivery Point Facilities deliver gas to Customer’s Lateral Pipeline Facilities.  Such Delivery Point will be designated as Transwestern POI No. 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Delivery Point Facilities” shall mean the two (2) 12” taps and 16”</w:t>
      </w:r>
      <w:r>
        <w:rPr>
          <w:color w:val="FF0000"/>
          <w:sz w:val="24"/>
        </w:rPr>
        <w:t xml:space="preserve"> </w:t>
      </w:r>
      <w:r>
        <w:rPr>
          <w:sz w:val="24"/>
        </w:rPr>
        <w:t>header facilities located at or near milepost 116.5 in Mohave County, Arizona, as well as the flow control, measuring equipment and other related facilities necessary to measure and control up to 150,000 Dth/d of natural gas, to be constructed, owned and operated by Transwestern as more fully described in this Agreement.</w:t>
      </w:r>
    </w:p>
    <w:p>
      <w:pPr>
        <w:pStyle w:val="Normal"/>
        <w:widowControl/>
        <w:jc w:val="both"/>
        <w:rPr>
          <w:sz w:val="24"/>
        </w:rPr>
      </w:pPr>
      <w:r>
        <w:rPr>
          <w:sz w:val="24"/>
        </w:rPr>
      </w:r>
    </w:p>
    <w:p>
      <w:pPr>
        <w:pStyle w:val="Normal"/>
        <w:widowControl/>
        <w:numPr>
          <w:ilvl w:val="0"/>
          <w:numId w:val="4"/>
        </w:numPr>
        <w:ind w:hanging="720" w:start="720" w:end="0"/>
        <w:jc w:val="both"/>
        <w:rPr>
          <w:sz w:val="24"/>
        </w:rPr>
      </w:pPr>
      <w:r>
        <w:rPr>
          <w:sz w:val="24"/>
        </w:rPr>
        <w:t>"In-Service Date" shall mean ____________________.</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Lateral Pipeline Facilities” shall mean the lateral (take-away) pipeline located immediately downstream of the Delivery Point Facilities necessary to receive up to 150,000 Dth/d of natural gas deliveries from Transwestern to be installed, owned and operated by Customer.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Month” shall mean the period beginning at nine o’clock a.m. Central Clock Time on the first day of a calendar month and ending at the same hour on the first day of the next succeeding calendar month.</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Psia” shall mean pounds per square inch atmospheric, where pressure is due to the weight of air and water vapor.</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Psig” shall mean pounds per square inch, gauge, above atmospheric pressure.</w:t>
      </w:r>
    </w:p>
    <w:p>
      <w:pPr>
        <w:pStyle w:val="Normal"/>
        <w:widowControl/>
        <w:numPr>
          <w:ilvl w:val="0"/>
          <w:numId w:val="0"/>
        </w:numPr>
        <w:ind w:hanging="0" w:start="0"/>
        <w:jc w:val="both"/>
        <w:rPr>
          <w:sz w:val="24"/>
        </w:rPr>
      </w:pPr>
      <w:r>
        <w:rPr>
          <w:sz w:val="24"/>
        </w:rPr>
      </w:r>
    </w:p>
    <w:p>
      <w:pPr>
        <w:pStyle w:val="Normal"/>
        <w:widowControl/>
        <w:numPr>
          <w:ilvl w:val="0"/>
          <w:numId w:val="4"/>
        </w:numPr>
        <w:ind w:hanging="720" w:start="720" w:end="0"/>
        <w:jc w:val="both"/>
        <w:rPr>
          <w:sz w:val="24"/>
        </w:rPr>
      </w:pPr>
      <w:r>
        <w:rPr>
          <w:sz w:val="24"/>
        </w:rPr>
        <w:t>“</w:t>
      </w:r>
      <w:r>
        <w:rPr>
          <w:sz w:val="24"/>
        </w:rPr>
        <w:t>Year” shall mean a consecutive period of three hundred sixty-five (365) days.</w:t>
      </w:r>
    </w:p>
    <w:p>
      <w:pPr>
        <w:pStyle w:val="Normal"/>
        <w:widowControl/>
        <w:rPr>
          <w:sz w:val="24"/>
        </w:rPr>
      </w:pPr>
      <w:r>
        <w:rPr>
          <w:sz w:val="24"/>
        </w:rPr>
      </w:r>
    </w:p>
    <w:p>
      <w:pPr>
        <w:pStyle w:val="Normal"/>
        <w:widowControl/>
        <w:jc w:val="center"/>
        <w:rPr>
          <w:b/>
          <w:sz w:val="24"/>
        </w:rPr>
      </w:pPr>
      <w:r>
        <w:rPr>
          <w:b/>
          <w:sz w:val="24"/>
        </w:rPr>
        <w:t>ARTICLE 2</w:t>
      </w:r>
    </w:p>
    <w:p>
      <w:pPr>
        <w:pStyle w:val="Normal"/>
        <w:widowControl/>
        <w:jc w:val="center"/>
        <w:rPr>
          <w:b/>
          <w:sz w:val="24"/>
        </w:rPr>
      </w:pPr>
      <w:r>
        <w:rPr>
          <w:b/>
          <w:sz w:val="24"/>
          <w:u w:val="single"/>
        </w:rPr>
        <w:t>TERM</w:t>
      </w:r>
    </w:p>
    <w:p>
      <w:pPr>
        <w:pStyle w:val="Normal"/>
        <w:widowControl/>
        <w:jc w:val="both"/>
        <w:rPr>
          <w:b/>
          <w:sz w:val="24"/>
        </w:rPr>
      </w:pPr>
      <w:r>
        <w:rPr>
          <w:b/>
          <w:sz w:val="24"/>
        </w:rPr>
      </w:r>
    </w:p>
    <w:p>
      <w:pPr>
        <w:pStyle w:val="Normal"/>
        <w:widowControl/>
        <w:ind w:hanging="720" w:start="720" w:end="0"/>
        <w:jc w:val="both"/>
        <w:rPr>
          <w:sz w:val="24"/>
        </w:rPr>
      </w:pPr>
      <w:r>
        <w:rPr>
          <w:sz w:val="24"/>
        </w:rPr>
        <w:t>2.1</w:t>
        <w:tab/>
        <w:t>This Agreement shall be effective as of the date hereinabove written.  Customer shall have the option to terminate this Agreement at any time prior to the connection of the Lateral Pipeline Facilities to the Delivery Point Facilities or if the Delivery Point Facilities contemplated by this Agreement are not constructed and fully operational by the In-Service Date.  In the event Customer terminates this Agreement for any reason other than Transwestern’s failure to perform its obligations under this Agreement, Customer shall reimburse Transwestern for any and all costs incurred for work performed or materials ordered by Transwestern for the construction of the Delivery Point Facilities.</w:t>
      </w:r>
    </w:p>
    <w:p>
      <w:pPr>
        <w:pStyle w:val="Normal"/>
        <w:widowControl/>
        <w:ind w:hanging="720" w:start="720" w:end="0"/>
        <w:jc w:val="both"/>
        <w:rPr>
          <w:sz w:val="24"/>
        </w:rPr>
      </w:pPr>
      <w:r>
        <w:rPr>
          <w:sz w:val="24"/>
        </w:rPr>
      </w:r>
    </w:p>
    <w:p>
      <w:pPr>
        <w:pStyle w:val="Normal"/>
        <w:widowControl/>
        <w:jc w:val="center"/>
        <w:rPr>
          <w:b/>
          <w:sz w:val="24"/>
        </w:rPr>
      </w:pPr>
      <w:r>
        <w:rPr>
          <w:b/>
          <w:sz w:val="24"/>
        </w:rPr>
        <w:t>ARTICLE 3</w:t>
      </w:r>
    </w:p>
    <w:p>
      <w:pPr>
        <w:pStyle w:val="Normal"/>
        <w:widowControl/>
        <w:jc w:val="center"/>
        <w:rPr>
          <w:b/>
          <w:sz w:val="24"/>
          <w:u w:val="single"/>
        </w:rPr>
      </w:pPr>
      <w:r>
        <w:rPr>
          <w:b/>
          <w:sz w:val="24"/>
          <w:u w:val="single"/>
        </w:rPr>
        <w:t>FACILITIES</w:t>
      </w:r>
    </w:p>
    <w:p>
      <w:pPr>
        <w:pStyle w:val="Normal"/>
        <w:widowControl/>
        <w:jc w:val="center"/>
        <w:rPr>
          <w:b/>
          <w:sz w:val="24"/>
          <w:u w:val="single"/>
        </w:rPr>
      </w:pPr>
      <w:r>
        <w:rPr>
          <w:b/>
          <w:sz w:val="24"/>
          <w:u w:val="single"/>
        </w:rPr>
      </w:r>
    </w:p>
    <w:p>
      <w:pPr>
        <w:pStyle w:val="Normal"/>
        <w:widowControl/>
        <w:ind w:hanging="720" w:start="720" w:end="0"/>
        <w:jc w:val="both"/>
        <w:rPr>
          <w:sz w:val="24"/>
        </w:rPr>
      </w:pPr>
      <w:r>
        <w:rPr>
          <w:sz w:val="24"/>
        </w:rPr>
        <w:t>3.1</w:t>
        <w:tab/>
        <w:t xml:space="preserve">Following the receipt of all necessary regulatory approvals and permits, Customer agrees to construct the Lateral Pipeline Facilities sufficient to receive up to 150,000 Dth per day.  The connection of the Lateral Pipeline Facilities to the Delivery Point Facilities may be observed by Transwestern and shall be in accordance with Transwestern’s specifications.  Customer shall bear all costs relating to the installation, construction and ongoing maintenance of the Lateral Pipeline Facilities, including, but not limited to, materials, equipment, labor, taxes, and lost gas.  </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3.2</w:t>
        <w:tab/>
        <w:t>Transwestern shall, within thirty (30) days following execution of this Agreement, file for FERC approval (if required) to construct and operate the Delivery Point Facilities.  Customer shall cooperate with Transwestern and, if necessary, support Transwestern's efforts to obtain any and all regulatory approvals and permits for construction of such facilities.</w:t>
      </w:r>
    </w:p>
    <w:p>
      <w:pPr>
        <w:pStyle w:val="Normal"/>
        <w:widowControl/>
        <w:jc w:val="both"/>
        <w:rPr>
          <w:sz w:val="24"/>
        </w:rPr>
      </w:pPr>
      <w:r>
        <w:rPr>
          <w:sz w:val="24"/>
        </w:rPr>
      </w:r>
    </w:p>
    <w:p>
      <w:pPr>
        <w:pStyle w:val="Normal"/>
        <w:widowControl/>
        <w:numPr>
          <w:ilvl w:val="1"/>
          <w:numId w:val="3"/>
        </w:numPr>
        <w:jc w:val="both"/>
        <w:rPr>
          <w:sz w:val="24"/>
        </w:rPr>
      </w:pPr>
      <w:r>
        <w:rPr>
          <w:sz w:val="24"/>
        </w:rPr>
        <w:t>Following receipt of all necessary regulatory approvals and permits and receipt of a written notice to proceed from Customer, Transwestern agrees to install and to have fully operational the Delivery Point Facilities on or before the In-Service Date; provided, however, that Transwestern has received any and all necessary regulatory approvals and permits no later than __________________, and a written notice to proceed from Customer no later than ______________________, and has not experienced delays in the receipt of materials and equipment required for the installation of the Delivery Point Facilities.  If the necessary regulatory approvals and permits have not been received by __________________, a notice to proceed has not been received from Customer by _____________________, or there is a delay in the receipt of timely ordered materials and equipment required for the installation of the Delivery Point Facilities not due to the fault of Transwestern and/or its agents, then Transwestern and Customer shall, in good faith, agree on a new In-Service Date reflecting such regulatory, permitting and/or equipment delays.  In addition to the foregoing, in the event Transwestern has received all necessary authorizations and permits required for the construction of said facilities, and there have not been delays in the receipt of the materials necessary for Transwestern to commence construction on or before __________________, but severe or inclement forms of weather, including, but not limited to, high winds, rain, sleet and/or snow, prevent Transwestern from performing the construction activities necessary to ensure the facilities are installed and operational on or before the In-Service Date, then the parties shall, in good faith, agree on a revised In-Service Date reflecting the weather related delay(s).  Such revision shall not extend the In-Service Date for a period greater than the period of the weather related delay(s).</w:t>
      </w:r>
    </w:p>
    <w:p>
      <w:pPr>
        <w:pStyle w:val="Normal"/>
        <w:widowControl/>
        <w:jc w:val="both"/>
        <w:rPr>
          <w:sz w:val="24"/>
        </w:rPr>
      </w:pPr>
      <w:r>
        <w:rPr>
          <w:sz w:val="24"/>
        </w:rPr>
      </w:r>
    </w:p>
    <w:p>
      <w:pPr>
        <w:pStyle w:val="Normal"/>
        <w:widowControl/>
        <w:numPr>
          <w:ilvl w:val="1"/>
          <w:numId w:val="3"/>
        </w:numPr>
        <w:jc w:val="both"/>
        <w:rPr>
          <w:sz w:val="24"/>
        </w:rPr>
      </w:pPr>
      <w:r>
        <w:rPr>
          <w:sz w:val="24"/>
        </w:rPr>
        <w:t xml:space="preserve">Upon execution of this Agreement, Customer shall pay Transwestern an estimated cost of Five Hundred Eight-five Thousand Sixteen Dollars and No/100 ($585,016.00) to cover all costs relating to materials, equipment, contract labor, company labor, taxes and gas lost for installation of the Interconnect Facilities.  A detail of the estimated cost is attached as </w:t>
      </w:r>
      <w:r>
        <w:rPr>
          <w:sz w:val="24"/>
          <w:u w:val="single"/>
        </w:rPr>
        <w:t>Exhibit A</w:t>
      </w:r>
      <w:r>
        <w:rPr>
          <w:sz w:val="24"/>
        </w:rPr>
        <w:t xml:space="preserve"> hereto.  If the actual costs and expenses exceed Five Hundred Eight-five Thousand Sixteen Dollars and No/100 ($585,016.00), Customer shall reimburse Transwestern for the excess amount within thirty (30) days after Customer's receipt of Transwestern's invoice thereof. If the actual costs and expenses are less than Five Hundred Eight-five Thousand Sixteen Dollars and No/100 ($585,016.00), Transwestern shall remit to Customer the difference between Five Hundred Eight-five Thousand Sixteen Dollars and No/100 ($585,016.00) and the actual costs and expenses within thirty (30) days from Transwestern's payment of the final invoice for the installation of the Interconnect Facilities.</w:t>
      </w:r>
    </w:p>
    <w:p>
      <w:pPr>
        <w:pStyle w:val="Normal"/>
        <w:widowControl/>
        <w:rPr>
          <w:sz w:val="24"/>
        </w:rPr>
      </w:pPr>
      <w:r>
        <w:rPr>
          <w:sz w:val="24"/>
        </w:rPr>
      </w:r>
    </w:p>
    <w:p>
      <w:pPr>
        <w:pStyle w:val="Normal"/>
        <w:widowControl/>
        <w:jc w:val="center"/>
        <w:rPr>
          <w:b/>
          <w:sz w:val="24"/>
        </w:rPr>
      </w:pPr>
      <w:r>
        <w:rPr>
          <w:b/>
          <w:sz w:val="24"/>
        </w:rPr>
        <w:t>ARTICLE 4</w:t>
      </w:r>
    </w:p>
    <w:p>
      <w:pPr>
        <w:pStyle w:val="Normal"/>
        <w:widowControl/>
        <w:jc w:val="center"/>
        <w:rPr>
          <w:b/>
          <w:sz w:val="24"/>
          <w:u w:val="single"/>
        </w:rPr>
      </w:pPr>
      <w:r>
        <w:rPr>
          <w:b/>
          <w:sz w:val="24"/>
          <w:u w:val="single"/>
        </w:rPr>
        <w:t>OPERATION OF DELIVERY POINT FACILITIES</w:t>
      </w:r>
    </w:p>
    <w:p>
      <w:pPr>
        <w:pStyle w:val="Normal"/>
        <w:widowControl/>
        <w:jc w:val="both"/>
        <w:rPr>
          <w:b/>
          <w:sz w:val="24"/>
          <w:u w:val="single"/>
        </w:rPr>
      </w:pPr>
      <w:r>
        <w:rPr>
          <w:b/>
          <w:sz w:val="24"/>
          <w:u w:val="single"/>
        </w:rPr>
      </w:r>
    </w:p>
    <w:p>
      <w:pPr>
        <w:pStyle w:val="Normal"/>
        <w:widowControl/>
        <w:numPr>
          <w:ilvl w:val="0"/>
          <w:numId w:val="2"/>
        </w:numPr>
        <w:ind w:hanging="720" w:start="720" w:end="0"/>
        <w:jc w:val="both"/>
        <w:rPr>
          <w:sz w:val="24"/>
        </w:rPr>
      </w:pPr>
      <w:r>
        <w:rPr>
          <w:sz w:val="24"/>
        </w:rPr>
        <w:t>Transwestern shall operate and maintain the Delivery Point Facilities in a manner consistent with industry standard practices and in accordance with the provisions of Transwestern’s FERC Gas Tariff, as amended from time to time, and any applicable state and local regulations, at its sole cost and expense.</w:t>
      </w:r>
    </w:p>
    <w:p>
      <w:pPr>
        <w:pStyle w:val="Normal"/>
        <w:widowControl/>
        <w:numPr>
          <w:ilvl w:val="0"/>
          <w:numId w:val="0"/>
        </w:numPr>
        <w:ind w:hanging="0" w:start="0"/>
        <w:jc w:val="both"/>
        <w:rPr>
          <w:sz w:val="24"/>
        </w:rPr>
      </w:pPr>
      <w:r>
        <w:rPr>
          <w:sz w:val="24"/>
        </w:rPr>
      </w:r>
    </w:p>
    <w:p>
      <w:pPr>
        <w:pStyle w:val="Normal"/>
        <w:widowControl/>
        <w:numPr>
          <w:ilvl w:val="0"/>
          <w:numId w:val="2"/>
        </w:numPr>
        <w:ind w:hanging="720" w:start="720" w:end="0"/>
        <w:jc w:val="both"/>
        <w:rPr>
          <w:sz w:val="24"/>
        </w:rPr>
      </w:pPr>
      <w:r>
        <w:rPr>
          <w:sz w:val="24"/>
        </w:rPr>
        <w:t>Transwestern and Customer agree that this Agreement is a Delivery Point Construction and Operating Agreement only and does not obligate either party to transport gas.  Terms and conditions for the transportation of gas shall be controlled by separate agreements.</w:t>
      </w:r>
    </w:p>
    <w:p>
      <w:pPr>
        <w:pStyle w:val="Normal"/>
        <w:widowControl/>
        <w:jc w:val="both"/>
        <w:rPr>
          <w:sz w:val="24"/>
        </w:rPr>
      </w:pPr>
      <w:r>
        <w:rPr>
          <w:sz w:val="24"/>
        </w:rPr>
      </w:r>
    </w:p>
    <w:p>
      <w:pPr>
        <w:pStyle w:val="Normal"/>
        <w:widowControl/>
        <w:numPr>
          <w:ilvl w:val="0"/>
          <w:numId w:val="2"/>
        </w:numPr>
        <w:ind w:hanging="720" w:start="720" w:end="0"/>
        <w:jc w:val="both"/>
        <w:rPr>
          <w:sz w:val="24"/>
        </w:rPr>
      </w:pPr>
      <w:r>
        <w:rPr>
          <w:sz w:val="24"/>
        </w:rPr>
        <w:t>Subject to the terms of Transwestern’s FERC Gas Tariff as it exists from time to time, and subject further to the receipt by Transwestern of timely nominations from Customer or Customer’s agent respecting the quantity of natural gas to be delivered by Transwestern to Customer at the Delivery Point _________________________.</w:t>
      </w:r>
    </w:p>
    <w:p>
      <w:pPr>
        <w:pStyle w:val="Normal"/>
        <w:widowControl/>
        <w:jc w:val="both"/>
        <w:rPr>
          <w:sz w:val="24"/>
        </w:rPr>
      </w:pPr>
      <w:r>
        <w:rPr>
          <w:sz w:val="24"/>
        </w:rPr>
      </w:r>
    </w:p>
    <w:p>
      <w:pPr>
        <w:pStyle w:val="Normal"/>
        <w:widowControl/>
        <w:jc w:val="center"/>
        <w:rPr>
          <w:b/>
          <w:sz w:val="24"/>
        </w:rPr>
      </w:pPr>
      <w:r>
        <w:rPr>
          <w:b/>
          <w:sz w:val="24"/>
        </w:rPr>
        <w:t>ARTICLE 5</w:t>
      </w:r>
    </w:p>
    <w:p>
      <w:pPr>
        <w:pStyle w:val="Normal"/>
        <w:widowControl/>
        <w:jc w:val="center"/>
        <w:rPr>
          <w:b/>
          <w:sz w:val="24"/>
          <w:u w:val="single"/>
        </w:rPr>
      </w:pPr>
      <w:r>
        <w:rPr>
          <w:b/>
          <w:sz w:val="24"/>
          <w:u w:val="single"/>
        </w:rPr>
        <w:t>INDEMNIFICATION</w:t>
      </w:r>
    </w:p>
    <w:p>
      <w:pPr>
        <w:pStyle w:val="Normal"/>
        <w:widowControl/>
        <w:rPr>
          <w:b/>
          <w:sz w:val="24"/>
          <w:u w:val="single"/>
        </w:rPr>
      </w:pPr>
      <w:r>
        <w:rPr>
          <w:b/>
          <w:sz w:val="24"/>
          <w:u w:val="single"/>
        </w:rPr>
      </w:r>
    </w:p>
    <w:p>
      <w:pPr>
        <w:pStyle w:val="Normal"/>
        <w:widowControl/>
        <w:rPr/>
      </w:pPr>
      <w:r>
        <w:rPr>
          <w:sz w:val="24"/>
        </w:rPr>
        <w:t>5.1</w:t>
        <w:tab/>
      </w:r>
      <w:r>
        <w:rPr>
          <w:sz w:val="24"/>
          <w:u w:val="single"/>
        </w:rPr>
        <w:t>Indemnification</w:t>
      </w:r>
      <w:r>
        <w:rPr>
          <w:sz w:val="24"/>
        </w:rPr>
        <w:t>.</w:t>
      </w:r>
    </w:p>
    <w:p>
      <w:pPr>
        <w:pStyle w:val="Normal"/>
        <w:widowControl/>
        <w:ind w:hanging="720" w:start="1440" w:end="0"/>
        <w:jc w:val="both"/>
        <w:rPr>
          <w:sz w:val="24"/>
        </w:rPr>
      </w:pPr>
      <w:r>
        <w:rPr>
          <w:sz w:val="24"/>
        </w:rPr>
        <w:t>a.</w:t>
        <w:tab/>
        <w:t>Transwestern shall protect, indemnify and hold harmless Customer, its affiliated companies and officers, directors, stockholders, employees,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this Agreement, and shall pay any judgments of any nature rendered against such person for such injuries or damage due to or arising out of or in connection with such negligence of Transwestern or its agent(s).</w:t>
      </w:r>
    </w:p>
    <w:p>
      <w:pPr>
        <w:pStyle w:val="Normal"/>
        <w:widowControl/>
        <w:ind w:hanging="720" w:start="1440" w:end="0"/>
        <w:jc w:val="both"/>
        <w:rPr>
          <w:sz w:val="24"/>
        </w:rPr>
      </w:pPr>
      <w:r>
        <w:rPr>
          <w:sz w:val="24"/>
        </w:rPr>
      </w:r>
    </w:p>
    <w:p>
      <w:pPr>
        <w:pStyle w:val="Normal"/>
        <w:widowControl/>
        <w:ind w:hanging="720" w:start="1440" w:end="0"/>
        <w:jc w:val="both"/>
        <w:rPr/>
      </w:pPr>
      <w:r>
        <w:rPr>
          <w:sz w:val="24"/>
        </w:rPr>
        <w:t>b.</w:t>
        <w:tab/>
        <w:t>Customer</w:t>
      </w:r>
      <w:r>
        <w:rPr>
          <w:b/>
          <w:sz w:val="24"/>
        </w:rPr>
        <w:t xml:space="preserve"> </w:t>
      </w:r>
      <w:r>
        <w:rPr>
          <w:sz w:val="24"/>
        </w:rPr>
        <w:t>shall protect, indemnify and hold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Customer</w:t>
      </w:r>
      <w:r>
        <w:rPr>
          <w:b/>
          <w:sz w:val="24"/>
        </w:rPr>
        <w:t xml:space="preserve"> </w:t>
      </w:r>
      <w:r>
        <w:rPr>
          <w:sz w:val="24"/>
        </w:rPr>
        <w:t>or its agent(s) arising out of or in connection with its obligations under this Agreement, and shall pay any judgments of any nature rendered against such person for such injuries or damage due to or arising out of or in connection with such negligence of Customer or its agent(s).</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c.</w:t>
        <w:tab/>
        <w:t>If any liability, loss, claim, damage, penalty, causes of action or suit arises from the joint negligence of Transwestern or its agent(s) and Customer or its agent(s), each Party’s responsibility for its portion of the liability, loss, claim, damage, penalty, cause of action or suit shall be as determined in accordance with applicable Texas law.</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d.</w:t>
        <w:tab/>
        <w:t>Notwithstanding anything stated to the contrary herein with respect to the operation of the Delivery Point by Transwestern, Transwestern shall indemnify and hold Customer harmless from and against any and all fines and penalties which are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Delivery Point Facilities, and is not Transwestern’s, or its agent’s, error.</w:t>
      </w:r>
    </w:p>
    <w:p>
      <w:pPr>
        <w:pStyle w:val="Normal"/>
        <w:widowControl/>
        <w:ind w:hanging="720" w:start="1440" w:end="0"/>
        <w:jc w:val="both"/>
        <w:rPr>
          <w:sz w:val="24"/>
        </w:rPr>
      </w:pPr>
      <w:r>
        <w:rPr>
          <w:sz w:val="24"/>
        </w:rPr>
      </w:r>
    </w:p>
    <w:p>
      <w:pPr>
        <w:pStyle w:val="Normal"/>
        <w:widowControl/>
        <w:ind w:hanging="720" w:start="1440" w:end="0"/>
        <w:jc w:val="both"/>
        <w:rPr>
          <w:sz w:val="24"/>
        </w:rPr>
      </w:pPr>
      <w:r>
        <w:rPr>
          <w:sz w:val="24"/>
        </w:rPr>
        <w:t>e.</w:t>
        <w:tab/>
        <w:t>If any provision of this Article 5 or the application thereof shall to any extent be rendered invalid or unenforceable, then the remainder of this Article 5 shall not be affected thereby, it being intended and agreed that this Article 5 shall be construed and enforced to the fullest extent permitted by applicable Texas law.</w:t>
      </w:r>
    </w:p>
    <w:p>
      <w:pPr>
        <w:pStyle w:val="Normal"/>
        <w:widowControl/>
        <w:jc w:val="center"/>
        <w:rPr>
          <w:sz w:val="24"/>
        </w:rPr>
      </w:pPr>
      <w:r>
        <w:rPr>
          <w:sz w:val="24"/>
        </w:rPr>
      </w:r>
    </w:p>
    <w:p>
      <w:pPr>
        <w:pStyle w:val="Normal"/>
        <w:widowControl/>
        <w:jc w:val="center"/>
        <w:rPr>
          <w:b/>
          <w:sz w:val="24"/>
        </w:rPr>
      </w:pPr>
      <w:r>
        <w:rPr>
          <w:b/>
          <w:sz w:val="24"/>
        </w:rPr>
        <w:t>ARTICLE 6</w:t>
      </w:r>
    </w:p>
    <w:p>
      <w:pPr>
        <w:pStyle w:val="Normal"/>
        <w:widowControl/>
        <w:jc w:val="center"/>
        <w:rPr>
          <w:b/>
          <w:sz w:val="24"/>
        </w:rPr>
      </w:pPr>
      <w:r>
        <w:rPr>
          <w:b/>
          <w:sz w:val="24"/>
          <w:u w:val="single"/>
        </w:rPr>
        <w:t>DEFAULT AND REMEDIES</w:t>
      </w:r>
    </w:p>
    <w:p>
      <w:pPr>
        <w:pStyle w:val="Normal"/>
        <w:widowControl/>
        <w:jc w:val="both"/>
        <w:rPr>
          <w:b/>
          <w:sz w:val="24"/>
        </w:rPr>
      </w:pPr>
      <w:r>
        <w:rPr>
          <w:b/>
          <w:sz w:val="24"/>
        </w:rPr>
      </w:r>
    </w:p>
    <w:p>
      <w:pPr>
        <w:pStyle w:val="Normal"/>
        <w:widowControl/>
        <w:ind w:hanging="720" w:start="720" w:end="0"/>
        <w:jc w:val="both"/>
        <w:rPr/>
      </w:pPr>
      <w:r>
        <w:rPr>
          <w:sz w:val="24"/>
        </w:rPr>
        <w:t>6.1</w:t>
        <w:tab/>
      </w:r>
      <w:r>
        <w:rPr>
          <w:sz w:val="24"/>
          <w:u w:val="single"/>
        </w:rPr>
        <w:t>Failure to Perform</w:t>
      </w:r>
      <w:r>
        <w:rPr>
          <w:sz w:val="24"/>
        </w:rPr>
        <w:t>.  Unless performance is excused by another provision of this Agreement, if either Party fails to perform its obligations in accordance with the provisions of this Agreement, then the non-defaulting Party may pursue any rights or remedies that are available to such Party at law or in equity.</w:t>
      </w:r>
    </w:p>
    <w:p>
      <w:pPr>
        <w:pStyle w:val="Normal"/>
        <w:widowControl/>
        <w:ind w:hanging="720" w:start="720" w:end="0"/>
        <w:jc w:val="both"/>
        <w:rPr>
          <w:sz w:val="24"/>
        </w:rPr>
      </w:pPr>
      <w:r>
        <w:rPr>
          <w:sz w:val="24"/>
        </w:rPr>
      </w:r>
    </w:p>
    <w:p>
      <w:pPr>
        <w:pStyle w:val="Normal"/>
        <w:widowControl/>
        <w:ind w:hanging="720" w:start="720" w:end="0"/>
        <w:jc w:val="both"/>
        <w:rPr>
          <w:sz w:val="24"/>
        </w:rPr>
      </w:pPr>
      <w:r>
        <w:rPr>
          <w:sz w:val="24"/>
        </w:rPr>
        <w:t>6.2</w:t>
        <w:tab/>
      </w:r>
      <w:r>
        <w:rPr>
          <w:sz w:val="24"/>
          <w:u w:val="single"/>
        </w:rPr>
        <w:t>Limitation of Liabilities</w:t>
      </w:r>
      <w:r>
        <w:rPr>
          <w:sz w:val="24"/>
        </w:rPr>
        <w:t xml:space="preserve">.  </w:t>
      </w:r>
      <w:r>
        <w:rPr>
          <w:b/>
          <w:sz w:val="24"/>
        </w:rPr>
        <w:t>IN NO EVENT SHALL EITHER PARTY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w:t>
      </w:r>
    </w:p>
    <w:p>
      <w:pPr>
        <w:pStyle w:val="Normal"/>
        <w:widowControl/>
        <w:jc w:val="center"/>
        <w:rPr>
          <w:sz w:val="24"/>
        </w:rPr>
      </w:pPr>
      <w:r>
        <w:rPr>
          <w:sz w:val="24"/>
        </w:rPr>
      </w:r>
    </w:p>
    <w:p>
      <w:pPr>
        <w:pStyle w:val="Heading1"/>
        <w:ind w:hanging="0" w:start="0"/>
        <w:rPr/>
      </w:pPr>
      <w:r>
        <w:rPr/>
        <w:t>ARTICLE 7</w:t>
      </w:r>
    </w:p>
    <w:p>
      <w:pPr>
        <w:pStyle w:val="Heading2"/>
        <w:ind w:hanging="0" w:start="0"/>
        <w:rPr/>
      </w:pPr>
      <w:r>
        <w:rPr/>
        <w:t>FORCE MAJEURE</w:t>
      </w:r>
    </w:p>
    <w:p>
      <w:pPr>
        <w:pStyle w:val="Normal"/>
        <w:keepNext w:val="true"/>
        <w:keepLines/>
        <w:widowControl/>
        <w:jc w:val="both"/>
        <w:rPr>
          <w:sz w:val="24"/>
        </w:rPr>
      </w:pPr>
      <w:r>
        <w:rPr>
          <w:sz w:val="24"/>
        </w:rPr>
      </w:r>
    </w:p>
    <w:p>
      <w:pPr>
        <w:pStyle w:val="Normal"/>
        <w:widowControl/>
        <w:ind w:hanging="720" w:start="720" w:end="0"/>
        <w:jc w:val="both"/>
        <w:rPr/>
      </w:pPr>
      <w:r>
        <w:rPr>
          <w:sz w:val="24"/>
        </w:rPr>
        <w:t>7.1</w:t>
        <w:tab/>
      </w:r>
      <w:r>
        <w:rPr>
          <w:sz w:val="24"/>
          <w:u w:val="single"/>
        </w:rPr>
        <w:t>Force Majeure</w:t>
      </w:r>
      <w:r>
        <w:rPr>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w:t>
      </w:r>
    </w:p>
    <w:p>
      <w:pPr>
        <w:pStyle w:val="Normal"/>
        <w:widowControl/>
        <w:ind w:hanging="720" w:start="720" w:end="0"/>
        <w:jc w:val="both"/>
        <w:rPr>
          <w:sz w:val="24"/>
        </w:rPr>
      </w:pPr>
      <w:r>
        <w:rPr>
          <w:sz w:val="24"/>
        </w:rPr>
      </w:r>
    </w:p>
    <w:p>
      <w:pPr>
        <w:pStyle w:val="Normal"/>
        <w:widowControl/>
        <w:ind w:hanging="720" w:start="720" w:end="0"/>
        <w:jc w:val="both"/>
        <w:rPr/>
      </w:pPr>
      <w:r>
        <w:rPr>
          <w:sz w:val="24"/>
        </w:rPr>
        <w:t>7.2.</w:t>
        <w:tab/>
      </w:r>
      <w:r>
        <w:rPr>
          <w:sz w:val="24"/>
          <w:u w:val="single"/>
        </w:rPr>
        <w:t>Definition of Force Majeure</w:t>
      </w:r>
      <w:r>
        <w:rPr>
          <w:sz w:val="24"/>
        </w:rPr>
        <w:t>.  The term “force majeure,”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the necessity for making repairs, test or alterations to machinery or lines of pipe, freezing of wells or lines of pipe, partial or entire failure of wells, and any other causes, whether of the kind herein enumerated or otherwise, not at the time involved, reasonably within the control of the Party claiming suspension; such term shall likewise include (i) in those instances where any Party hereto is required to obtain servitudes, rights-of-way, grants, permits or licenses to enable such Party to fulfill its obligations hereunder, the inability of such Party to acquire, or the delays on the part of such Party in acquiring, at reasonable cost and after the exercise of reasonable diligence, such servitudes, rights-of-way, grants, permits or licenses, and (ii)</w:t>
      </w:r>
      <w:r>
        <w:rPr/>
        <w:t> </w:t>
      </w:r>
      <w:r>
        <w:rPr>
          <w:sz w:val="24"/>
        </w:rPr>
        <w:t>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widowControl/>
        <w:ind w:hanging="720" w:start="720" w:end="0"/>
        <w:jc w:val="both"/>
        <w:rPr>
          <w:sz w:val="24"/>
        </w:rPr>
      </w:pPr>
      <w:r>
        <w:rPr>
          <w:sz w:val="24"/>
        </w:rPr>
      </w:r>
    </w:p>
    <w:p>
      <w:pPr>
        <w:pStyle w:val="Normal"/>
        <w:widowControl/>
        <w:ind w:hanging="720" w:start="720" w:end="0"/>
        <w:jc w:val="both"/>
        <w:rPr/>
      </w:pPr>
      <w:r>
        <w:rPr>
          <w:sz w:val="24"/>
        </w:rPr>
        <w:t>7.3.</w:t>
        <w:tab/>
      </w:r>
      <w:r>
        <w:rPr>
          <w:sz w:val="24"/>
          <w:u w:val="single"/>
        </w:rPr>
        <w:t>Strikes and Lockouts</w:t>
      </w:r>
      <w:r>
        <w:rPr>
          <w:sz w:val="24"/>
        </w:rPr>
        <w:t>.  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widowControl/>
        <w:ind w:hanging="720" w:start="720" w:end="0"/>
        <w:jc w:val="both"/>
        <w:rPr>
          <w:sz w:val="24"/>
        </w:rPr>
      </w:pPr>
      <w:r>
        <w:rPr>
          <w:sz w:val="24"/>
        </w:rPr>
      </w:r>
    </w:p>
    <w:p>
      <w:pPr>
        <w:pStyle w:val="Normal"/>
        <w:keepNext w:val="true"/>
        <w:widowControl/>
        <w:jc w:val="center"/>
        <w:rPr>
          <w:b/>
          <w:sz w:val="24"/>
        </w:rPr>
      </w:pPr>
      <w:r>
        <w:rPr>
          <w:b/>
          <w:sz w:val="24"/>
        </w:rPr>
        <w:t>ARTICLE 8</w:t>
      </w:r>
    </w:p>
    <w:p>
      <w:pPr>
        <w:pStyle w:val="Normal"/>
        <w:keepNext w:val="true"/>
        <w:widowControl/>
        <w:jc w:val="center"/>
        <w:rPr>
          <w:b/>
          <w:sz w:val="24"/>
        </w:rPr>
      </w:pPr>
      <w:r>
        <w:rPr>
          <w:b/>
          <w:sz w:val="24"/>
          <w:u w:val="single"/>
        </w:rPr>
        <w:t>GOVERNMENTAL REGULATIONS, WAIVER AND SEVERABILITY</w:t>
      </w:r>
    </w:p>
    <w:p>
      <w:pPr>
        <w:pStyle w:val="Normal"/>
        <w:keepNext w:val="true"/>
        <w:widowControl/>
        <w:jc w:val="both"/>
        <w:rPr>
          <w:b/>
          <w:sz w:val="24"/>
        </w:rPr>
      </w:pPr>
      <w:r>
        <w:rPr>
          <w:b/>
          <w:sz w:val="24"/>
        </w:rPr>
      </w:r>
    </w:p>
    <w:p>
      <w:pPr>
        <w:pStyle w:val="Normal"/>
        <w:widowControl/>
        <w:ind w:hanging="720" w:start="720" w:end="0"/>
        <w:jc w:val="both"/>
        <w:rPr/>
      </w:pPr>
      <w:r>
        <w:rPr>
          <w:sz w:val="24"/>
        </w:rPr>
        <w:t>8.1</w:t>
        <w:tab/>
      </w:r>
      <w:r>
        <w:rPr>
          <w:sz w:val="24"/>
          <w:u w:val="single"/>
        </w:rPr>
        <w:t>Compliance with Laws and Regulations</w:t>
      </w:r>
      <w:r>
        <w:rPr>
          <w:sz w:val="24"/>
        </w:rPr>
        <w:t>. This Agreement is subject to all present and future valid orders, rules and regulations of any federal or state regulatory body of competent jurisdiction.  At all times during the term of this Agreement, Transwestern and Customer shall be in full compliance with all laws, regulations, orders, and applicable guidelines of governmental administrative agencies, relative to their employment of employees and agents,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1966, and applicable Executive Orders of the President of the United States.</w:t>
      </w:r>
    </w:p>
    <w:p>
      <w:pPr>
        <w:pStyle w:val="Normal"/>
        <w:widowControl/>
        <w:ind w:hanging="720" w:start="720" w:end="0"/>
        <w:jc w:val="both"/>
        <w:rPr>
          <w:sz w:val="24"/>
        </w:rPr>
      </w:pPr>
      <w:r>
        <w:rPr>
          <w:sz w:val="24"/>
        </w:rPr>
      </w:r>
    </w:p>
    <w:p>
      <w:pPr>
        <w:pStyle w:val="Normal"/>
        <w:widowControl/>
        <w:ind w:hanging="720" w:start="720" w:end="0"/>
        <w:jc w:val="both"/>
        <w:rPr/>
      </w:pPr>
      <w:r>
        <w:rPr>
          <w:sz w:val="24"/>
        </w:rPr>
        <w:t>8.2</w:t>
        <w:tab/>
      </w:r>
      <w:r>
        <w:rPr>
          <w:sz w:val="24"/>
          <w:u w:val="single"/>
        </w:rPr>
        <w:t>Governing Law</w:t>
      </w:r>
      <w:r>
        <w:rPr>
          <w:sz w:val="24"/>
        </w:rPr>
        <w:t xml:space="preserve">.  </w:t>
      </w:r>
      <w:r>
        <w:rPr>
          <w:b/>
          <w:sz w:val="24"/>
        </w:rPr>
        <w:t>THE VALIDITY AND INTERPRETATION OF THIS AGREEMENT SHALL BE GOVERNED BY THE LAWS OF THE STATE OF TEXAS, WITHOUT REFERENCE TO THE CHOICE OF LAW PRINCIPLES THEREOF.</w:t>
      </w:r>
    </w:p>
    <w:p>
      <w:pPr>
        <w:pStyle w:val="Normal"/>
        <w:widowControl/>
        <w:jc w:val="both"/>
        <w:rPr>
          <w:b/>
          <w:sz w:val="24"/>
        </w:rPr>
      </w:pPr>
      <w:r>
        <w:rPr>
          <w:b/>
          <w:sz w:val="24"/>
        </w:rPr>
      </w:r>
    </w:p>
    <w:p>
      <w:pPr>
        <w:pStyle w:val="Normal"/>
        <w:widowControl/>
        <w:ind w:hanging="720" w:start="720" w:end="0"/>
        <w:jc w:val="both"/>
        <w:rPr/>
      </w:pPr>
      <w:r>
        <w:rPr>
          <w:sz w:val="24"/>
        </w:rPr>
        <w:t>8.3</w:t>
        <w:tab/>
      </w:r>
      <w:r>
        <w:rPr>
          <w:sz w:val="24"/>
          <w:u w:val="single"/>
        </w:rPr>
        <w:t>Waiver</w:t>
      </w:r>
      <w:r>
        <w:rPr>
          <w:sz w:val="24"/>
        </w:rPr>
        <w:t>.  No waiver by a Party of any one or more defaults by the other Party in the performance of this Agreement shall operate or be construed as a waiver of any future default or defaults, whether of a like or different character.</w:t>
      </w:r>
    </w:p>
    <w:p>
      <w:pPr>
        <w:pStyle w:val="Normal"/>
        <w:widowControl/>
        <w:ind w:hanging="720" w:start="720" w:end="0"/>
        <w:jc w:val="both"/>
        <w:rPr>
          <w:sz w:val="24"/>
        </w:rPr>
      </w:pPr>
      <w:r>
        <w:rPr>
          <w:sz w:val="24"/>
        </w:rPr>
      </w:r>
    </w:p>
    <w:p>
      <w:pPr>
        <w:pStyle w:val="Normal"/>
        <w:widowControl/>
        <w:ind w:hanging="720" w:start="720" w:end="0"/>
        <w:jc w:val="both"/>
        <w:rPr/>
      </w:pPr>
      <w:r>
        <w:rPr>
          <w:sz w:val="24"/>
        </w:rPr>
        <w:t>8.4</w:t>
        <w:tab/>
      </w:r>
      <w:r>
        <w:rPr>
          <w:sz w:val="24"/>
          <w:u w:val="single"/>
        </w:rPr>
        <w:t>Severability</w:t>
      </w:r>
      <w:r>
        <w:rPr>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widowControl/>
        <w:ind w:hanging="720" w:start="720" w:end="0"/>
        <w:jc w:val="both"/>
        <w:rPr>
          <w:sz w:val="24"/>
        </w:rPr>
      </w:pPr>
      <w:r>
        <w:rPr>
          <w:sz w:val="24"/>
        </w:rPr>
      </w:r>
    </w:p>
    <w:p>
      <w:pPr>
        <w:pStyle w:val="Normal"/>
        <w:widowControl/>
        <w:jc w:val="center"/>
        <w:rPr>
          <w:b/>
          <w:sz w:val="24"/>
        </w:rPr>
      </w:pPr>
      <w:r>
        <w:rPr>
          <w:b/>
          <w:sz w:val="24"/>
        </w:rPr>
        <w:t>ARTICLE 9</w:t>
      </w:r>
    </w:p>
    <w:p>
      <w:pPr>
        <w:pStyle w:val="Normal"/>
        <w:widowControl/>
        <w:jc w:val="center"/>
        <w:rPr>
          <w:b/>
          <w:sz w:val="24"/>
        </w:rPr>
      </w:pPr>
      <w:r>
        <w:rPr>
          <w:b/>
          <w:sz w:val="24"/>
          <w:u w:val="single"/>
        </w:rPr>
        <w:t>MISCELLANEOUS</w:t>
      </w:r>
    </w:p>
    <w:p>
      <w:pPr>
        <w:pStyle w:val="Normal"/>
        <w:widowControl/>
        <w:jc w:val="both"/>
        <w:rPr>
          <w:b/>
          <w:sz w:val="24"/>
        </w:rPr>
      </w:pPr>
      <w:r>
        <w:rPr>
          <w:b/>
          <w:sz w:val="24"/>
        </w:rPr>
      </w:r>
    </w:p>
    <w:p>
      <w:pPr>
        <w:pStyle w:val="Normal"/>
        <w:widowControl/>
        <w:ind w:hanging="720" w:start="720" w:end="0"/>
        <w:jc w:val="both"/>
        <w:rPr/>
      </w:pPr>
      <w:r>
        <w:rPr>
          <w:sz w:val="24"/>
        </w:rPr>
        <w:t>9.1</w:t>
        <w:tab/>
      </w:r>
      <w:r>
        <w:rPr>
          <w:sz w:val="24"/>
          <w:u w:val="single"/>
        </w:rPr>
        <w:t>Assignment of Interests</w:t>
      </w:r>
      <w:r>
        <w:rPr>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 creditworthy Affiliate of the Party without such consent.  Any assignment or transfer in violation of this Paragraph shall be voidable at the discretion of the non-assigning Party.</w:t>
      </w:r>
    </w:p>
    <w:p>
      <w:pPr>
        <w:pStyle w:val="Normal"/>
        <w:widowControl/>
        <w:ind w:hanging="720" w:start="720" w:end="0"/>
        <w:jc w:val="both"/>
        <w:rPr>
          <w:sz w:val="24"/>
        </w:rPr>
      </w:pPr>
      <w:r>
        <w:rPr>
          <w:sz w:val="24"/>
        </w:rPr>
      </w:r>
    </w:p>
    <w:p>
      <w:pPr>
        <w:pStyle w:val="Normal"/>
        <w:widowControl/>
        <w:ind w:hanging="720" w:start="720" w:end="0"/>
        <w:jc w:val="both"/>
        <w:rPr/>
      </w:pPr>
      <w:r>
        <w:rPr>
          <w:sz w:val="24"/>
        </w:rPr>
        <w:t>9.2</w:t>
        <w:tab/>
      </w:r>
      <w:r>
        <w:rPr>
          <w:sz w:val="24"/>
          <w:u w:val="single"/>
        </w:rPr>
        <w:t>Confidentiality</w:t>
      </w:r>
      <w:r>
        <w:rPr>
          <w:sz w:val="24"/>
        </w:rPr>
        <w:t>.  This Agreement shall be kept confidential by the Parties, and, with the exception of disclosure to either Party's Affiliates, or disclosure to potential successors-in-interest to the Delivery Point Facilities or either Party’s facilities, shall not be disclosed to third parties without prior written consent obtained from the non-disclosing Party, which consent shall not be unreasonably withheld.  Disclosure is permitted and confidentiality is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widowControl/>
        <w:ind w:hanging="720" w:start="720" w:end="0"/>
        <w:jc w:val="both"/>
        <w:rPr>
          <w:sz w:val="24"/>
        </w:rPr>
      </w:pPr>
      <w:r>
        <w:rPr>
          <w:sz w:val="24"/>
        </w:rPr>
      </w:r>
    </w:p>
    <w:p>
      <w:pPr>
        <w:pStyle w:val="Normal"/>
        <w:widowControl/>
        <w:ind w:hanging="720" w:start="720" w:end="0"/>
        <w:jc w:val="both"/>
        <w:rPr/>
      </w:pPr>
      <w:r>
        <w:rPr>
          <w:sz w:val="24"/>
        </w:rPr>
        <w:t>9.3</w:t>
        <w:tab/>
      </w:r>
      <w:r>
        <w:rPr>
          <w:sz w:val="24"/>
          <w:u w:val="single"/>
        </w:rPr>
        <w:t>Relationship of Parties</w:t>
      </w:r>
      <w:r>
        <w:rPr>
          <w:sz w:val="24"/>
        </w:rPr>
        <w:t>.  This Agreement is not intended to create, and shall not be construed to create, a relationship of partnership or an association between the Parties hereto.  The provisions of this Agreement shall not impart rights of enforceability to any person, firm or organization not a Party to this Agreement.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9.4</w:t>
        <w:tab/>
      </w:r>
      <w:r>
        <w:rPr>
          <w:sz w:val="24"/>
          <w:u w:val="single"/>
        </w:rPr>
        <w:t>Headings</w:t>
      </w:r>
      <w:r>
        <w:rPr>
          <w:sz w:val="24"/>
        </w:rPr>
        <w:t>.  The descriptive headings of all Articles and Paragraphs of this Agreement are formulated and used for convenience only and shall not be deemed to affect the meaning or construction of any such Article or Paragraph.</w:t>
      </w:r>
    </w:p>
    <w:p>
      <w:pPr>
        <w:pStyle w:val="Normal"/>
        <w:widowControl/>
        <w:ind w:hanging="720" w:start="720" w:end="0"/>
        <w:jc w:val="both"/>
        <w:rPr>
          <w:sz w:val="24"/>
        </w:rPr>
      </w:pPr>
      <w:r>
        <w:rPr>
          <w:sz w:val="24"/>
        </w:rPr>
      </w:r>
    </w:p>
    <w:p>
      <w:pPr>
        <w:pStyle w:val="Normal"/>
        <w:widowControl/>
        <w:ind w:hanging="720" w:start="720" w:end="0"/>
        <w:jc w:val="both"/>
        <w:rPr/>
      </w:pPr>
      <w:r>
        <w:rPr>
          <w:sz w:val="24"/>
        </w:rPr>
        <w:t>9.5</w:t>
        <w:tab/>
      </w:r>
      <w:r>
        <w:rPr>
          <w:sz w:val="24"/>
          <w:u w:val="single"/>
        </w:rPr>
        <w:t>Notices</w:t>
      </w:r>
      <w:r>
        <w:rPr>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738"/>
        <w:gridCol w:w="4274"/>
        <w:gridCol w:w="590"/>
        <w:gridCol w:w="3974"/>
      </w:tblGrid>
      <w:tr>
        <w:trPr/>
        <w:tc>
          <w:tcPr>
            <w:tcW w:w="738" w:type="dxa"/>
            <w:tcBorders/>
          </w:tcPr>
          <w:p>
            <w:pPr>
              <w:pStyle w:val="Normal"/>
              <w:widowControl/>
              <w:snapToGrid w:val="false"/>
              <w:jc w:val="both"/>
              <w:rPr>
                <w:sz w:val="24"/>
              </w:rPr>
            </w:pPr>
            <w:r>
              <w:rPr>
                <w:sz w:val="24"/>
              </w:rPr>
            </w:r>
          </w:p>
        </w:tc>
        <w:tc>
          <w:tcPr>
            <w:tcW w:w="4274" w:type="dxa"/>
            <w:tcBorders/>
          </w:tcPr>
          <w:p>
            <w:pPr>
              <w:pStyle w:val="Normal"/>
              <w:widowControl/>
              <w:rPr/>
            </w:pPr>
            <w:r>
              <w:rPr>
                <w:sz w:val="24"/>
                <w:u w:val="single"/>
              </w:rPr>
              <w:t>Administrative Notices</w:t>
            </w:r>
            <w:r>
              <w:rPr>
                <w:sz w:val="24"/>
              </w:rPr>
              <w:t>:</w:t>
            </w:r>
          </w:p>
          <w:p>
            <w:pPr>
              <w:pStyle w:val="Normal"/>
              <w:widowControl/>
              <w:rPr>
                <w:sz w:val="24"/>
              </w:rPr>
            </w:pPr>
            <w:r>
              <w:rPr>
                <w:sz w:val="24"/>
              </w:rPr>
              <w:t>Big Sandy, LLC</w:t>
            </w:r>
          </w:p>
          <w:p>
            <w:pPr>
              <w:pStyle w:val="Normal"/>
              <w:widowControl/>
              <w:rPr>
                <w:sz w:val="24"/>
              </w:rPr>
            </w:pPr>
            <w:r>
              <w:rPr>
                <w:sz w:val="24"/>
              </w:rPr>
              <w:t>c/o Caithness Lanz Carpenter</w:t>
            </w:r>
          </w:p>
          <w:p>
            <w:pPr>
              <w:pStyle w:val="Normal"/>
              <w:widowControl/>
              <w:rPr>
                <w:sz w:val="24"/>
              </w:rPr>
            </w:pPr>
            <w:r>
              <w:rPr>
                <w:sz w:val="24"/>
              </w:rPr>
              <w:t>1114 Avenue of the Americas</w:t>
            </w:r>
          </w:p>
          <w:p>
            <w:pPr>
              <w:pStyle w:val="Normal"/>
              <w:widowControl/>
              <w:rPr>
                <w:sz w:val="24"/>
              </w:rPr>
            </w:pPr>
            <w:r>
              <w:rPr>
                <w:sz w:val="24"/>
              </w:rPr>
              <w:t>New York, New York 10036-7790</w:t>
            </w:r>
          </w:p>
          <w:p>
            <w:pPr>
              <w:pStyle w:val="Normal"/>
              <w:widowControl/>
              <w:rPr>
                <w:sz w:val="24"/>
              </w:rPr>
            </w:pPr>
            <w:r>
              <w:rPr>
                <w:sz w:val="24"/>
              </w:rPr>
              <w:t>Attn: Lanz Carpenter</w:t>
            </w:r>
          </w:p>
          <w:p>
            <w:pPr>
              <w:pStyle w:val="Normal"/>
              <w:widowControl/>
              <w:rPr>
                <w:sz w:val="24"/>
              </w:rPr>
            </w:pPr>
            <w:r>
              <w:rPr>
                <w:sz w:val="24"/>
              </w:rPr>
              <w:t>Telephone:  (212) 921-9099</w:t>
            </w:r>
          </w:p>
          <w:p>
            <w:pPr>
              <w:pStyle w:val="Normal"/>
              <w:widowControl/>
              <w:rPr>
                <w:sz w:val="24"/>
              </w:rPr>
            </w:pPr>
            <w:r>
              <w:rPr>
                <w:sz w:val="24"/>
              </w:rPr>
              <w:t>Telefax:  (212) 921-9239</w:t>
            </w:r>
          </w:p>
        </w:tc>
        <w:tc>
          <w:tcPr>
            <w:tcW w:w="590" w:type="dxa"/>
            <w:tcBorders/>
          </w:tcPr>
          <w:p>
            <w:pPr>
              <w:pStyle w:val="Normal"/>
              <w:widowControl/>
              <w:snapToGrid w:val="false"/>
              <w:rPr>
                <w:sz w:val="24"/>
              </w:rPr>
            </w:pPr>
            <w:r>
              <w:rPr>
                <w:sz w:val="24"/>
              </w:rPr>
            </w:r>
          </w:p>
        </w:tc>
        <w:tc>
          <w:tcPr>
            <w:tcW w:w="3974" w:type="dxa"/>
            <w:tcBorders/>
          </w:tcPr>
          <w:p>
            <w:pPr>
              <w:pStyle w:val="Normal"/>
              <w:widowControl/>
              <w:rPr/>
            </w:pPr>
            <w:r>
              <w:rPr>
                <w:sz w:val="24"/>
                <w:u w:val="single"/>
              </w:rPr>
              <w:t>Administrative Notices</w:t>
            </w:r>
            <w:r>
              <w:rPr>
                <w:sz w:val="24"/>
              </w:rPr>
              <w:t>:</w:t>
            </w:r>
          </w:p>
          <w:p>
            <w:pPr>
              <w:pStyle w:val="Normal"/>
              <w:widowControl/>
              <w:rPr>
                <w:sz w:val="24"/>
              </w:rPr>
            </w:pPr>
            <w:r>
              <w:rPr>
                <w:sz w:val="24"/>
              </w:rPr>
              <w:t>Transwestern Pipeline Company</w:t>
            </w:r>
          </w:p>
          <w:p>
            <w:pPr>
              <w:pStyle w:val="Normal"/>
              <w:widowControl/>
              <w:rPr>
                <w:sz w:val="24"/>
              </w:rPr>
            </w:pPr>
            <w:r>
              <w:rPr>
                <w:sz w:val="24"/>
              </w:rPr>
              <w:t>P.O. Box 1188</w:t>
            </w:r>
          </w:p>
          <w:p>
            <w:pPr>
              <w:pStyle w:val="Normal"/>
              <w:widowControl/>
              <w:rPr>
                <w:sz w:val="24"/>
              </w:rPr>
            </w:pPr>
            <w:r>
              <w:rPr>
                <w:sz w:val="24"/>
              </w:rPr>
              <w:t>Houston, TX  77251-1188</w:t>
            </w:r>
          </w:p>
          <w:p>
            <w:pPr>
              <w:pStyle w:val="Normal"/>
              <w:widowControl/>
              <w:rPr>
                <w:sz w:val="24"/>
              </w:rPr>
            </w:pPr>
            <w:r>
              <w:rPr>
                <w:sz w:val="24"/>
              </w:rPr>
              <w:t>Attn:  Marketing</w:t>
            </w:r>
          </w:p>
          <w:p>
            <w:pPr>
              <w:pStyle w:val="Normal"/>
              <w:widowControl/>
              <w:rPr>
                <w:sz w:val="24"/>
              </w:rPr>
            </w:pPr>
            <w:r>
              <w:rPr>
                <w:sz w:val="24"/>
              </w:rPr>
              <w:t>Telephone:  (713) 853-6040</w:t>
            </w:r>
          </w:p>
          <w:p>
            <w:pPr>
              <w:pStyle w:val="Normal"/>
              <w:widowControl/>
              <w:rPr>
                <w:sz w:val="24"/>
              </w:rPr>
            </w:pPr>
            <w:r>
              <w:rPr>
                <w:sz w:val="24"/>
              </w:rPr>
              <w:t>Telefax:  (713) 646-8000</w:t>
            </w:r>
          </w:p>
          <w:p>
            <w:pPr>
              <w:pStyle w:val="Normal"/>
              <w:widowControl/>
              <w:rPr>
                <w:sz w:val="24"/>
              </w:rPr>
            </w:pPr>
            <w:r>
              <w:rPr>
                <w:sz w:val="24"/>
              </w:rPr>
            </w:r>
          </w:p>
        </w:tc>
      </w:tr>
    </w:tbl>
    <w:p>
      <w:pPr>
        <w:pStyle w:val="Normal"/>
        <w:widowControl/>
        <w:ind w:hanging="720" w:start="720" w:end="0"/>
        <w:jc w:val="both"/>
        <w:rPr>
          <w:sz w:val="24"/>
        </w:rPr>
      </w:pPr>
      <w:r>
        <w:rPr>
          <w:sz w:val="24"/>
        </w:rPr>
      </w:r>
    </w:p>
    <w:p>
      <w:pPr>
        <w:pStyle w:val="Normal"/>
        <w:widowControl/>
        <w:ind w:hanging="720" w:start="720" w:end="0"/>
        <w:jc w:val="both"/>
        <w:rPr/>
      </w:pPr>
      <w:r>
        <w:rPr>
          <w:sz w:val="24"/>
        </w:rPr>
        <w:t>9.6</w:t>
        <w:tab/>
      </w:r>
      <w:r>
        <w:rPr>
          <w:sz w:val="24"/>
          <w:u w:val="single"/>
        </w:rPr>
        <w:t>Counterparts</w:t>
      </w:r>
      <w:r>
        <w:rPr>
          <w:sz w:val="24"/>
        </w:rPr>
        <w:t>.  This Agreement may be executed in counterparts, each of which shall be deemed an original, but all of which together shall constitute one and the same instrument.</w:t>
      </w:r>
    </w:p>
    <w:p>
      <w:pPr>
        <w:pStyle w:val="Normal"/>
        <w:widowControl/>
        <w:ind w:hanging="720" w:start="720" w:end="0"/>
        <w:jc w:val="both"/>
        <w:rPr>
          <w:sz w:val="24"/>
        </w:rPr>
      </w:pPr>
      <w:r>
        <w:rPr>
          <w:sz w:val="24"/>
        </w:rPr>
      </w:r>
    </w:p>
    <w:p>
      <w:pPr>
        <w:pStyle w:val="Normal"/>
        <w:widowControl/>
        <w:ind w:hanging="720" w:start="720" w:end="0"/>
        <w:jc w:val="both"/>
        <w:rPr/>
      </w:pPr>
      <w:r>
        <w:rPr>
          <w:sz w:val="24"/>
        </w:rPr>
        <w:t>9.7</w:t>
        <w:tab/>
      </w:r>
      <w:r>
        <w:rPr>
          <w:sz w:val="24"/>
          <w:u w:val="single"/>
        </w:rPr>
        <w:t>Entire Agreement</w:t>
      </w:r>
      <w:r>
        <w:rPr>
          <w:sz w:val="24"/>
        </w:rPr>
        <w:t>.  This Agreement and Exhibits hereto, if any, constitute the entire agreement between Transwestern and Customer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jc w:val="center"/>
        <w:rPr>
          <w:b/>
          <w:i/>
          <w:i/>
          <w:iCs/>
          <w:sz w:val="24"/>
        </w:rPr>
      </w:pPr>
      <w:r>
        <w:rPr>
          <w:b/>
          <w:i/>
          <w:iCs/>
          <w:sz w:val="24"/>
        </w:rPr>
        <w:t>(REMAINDER OF PAGE INTENTIONALLY OMITTED)</w:t>
      </w:r>
    </w:p>
    <w:p>
      <w:pPr>
        <w:pStyle w:val="Normal"/>
        <w:keepNext w:val="true"/>
        <w:keepLines/>
        <w:widowControl/>
        <w:rPr/>
      </w:pPr>
      <w:r>
        <w:rPr>
          <w:b/>
          <w:sz w:val="24"/>
        </w:rPr>
        <w:tab/>
        <w:t>IN WITNESS WHEREOF</w:t>
      </w:r>
      <w:r>
        <w:rPr>
          <w:sz w:val="24"/>
        </w:rPr>
        <w:t xml:space="preserve"> the Parties hereto have executed this Agreement as of the date first written above.</w:t>
      </w:r>
    </w:p>
    <w:p>
      <w:pPr>
        <w:pStyle w:val="Normal"/>
        <w:keepNext w:val="true"/>
        <w:keepLines/>
        <w:widowControl/>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widowControl/>
              <w:jc w:val="center"/>
              <w:rPr>
                <w:b/>
                <w:sz w:val="24"/>
              </w:rPr>
            </w:pPr>
            <w:r>
              <w:rPr>
                <w:b/>
                <w:sz w:val="24"/>
              </w:rPr>
              <w:t>“</w:t>
            </w:r>
            <w:r>
              <w:rPr>
                <w:b/>
                <w:sz w:val="24"/>
              </w:rPr>
              <w:t>TRANSWESTERN”</w:t>
            </w:r>
          </w:p>
        </w:tc>
        <w:tc>
          <w:tcPr>
            <w:tcW w:w="4788" w:type="dxa"/>
            <w:tcBorders/>
          </w:tcPr>
          <w:p>
            <w:pPr>
              <w:pStyle w:val="Normal"/>
              <w:keepNext w:val="true"/>
              <w:keepLines/>
              <w:widowControl/>
              <w:jc w:val="center"/>
              <w:rPr>
                <w:b/>
                <w:sz w:val="24"/>
              </w:rPr>
            </w:pPr>
            <w:r>
              <w:rPr>
                <w:b/>
                <w:sz w:val="24"/>
              </w:rPr>
              <w:t>“</w:t>
            </w:r>
            <w:r>
              <w:rPr>
                <w:b/>
                <w:sz w:val="24"/>
              </w:rPr>
              <w:t>CUSTOMER”</w:t>
            </w:r>
          </w:p>
        </w:tc>
      </w:tr>
      <w:tr>
        <w:trPr/>
        <w:tc>
          <w:tcPr>
            <w:tcW w:w="4788" w:type="dxa"/>
            <w:tcBorders/>
          </w:tcPr>
          <w:p>
            <w:pPr>
              <w:pStyle w:val="Normal"/>
              <w:keepNext w:val="true"/>
              <w:keepLines/>
              <w:widowControl/>
              <w:jc w:val="center"/>
              <w:rPr>
                <w:b/>
                <w:sz w:val="24"/>
              </w:rPr>
            </w:pPr>
            <w:r>
              <w:rPr>
                <w:b/>
                <w:sz w:val="24"/>
              </w:rPr>
              <w:t>Transwestern Pipeline Company</w:t>
            </w:r>
          </w:p>
        </w:tc>
        <w:tc>
          <w:tcPr>
            <w:tcW w:w="4788" w:type="dxa"/>
            <w:tcBorders/>
          </w:tcPr>
          <w:p>
            <w:pPr>
              <w:pStyle w:val="Normal"/>
              <w:keepNext w:val="true"/>
              <w:keepLines/>
              <w:widowControl/>
              <w:jc w:val="center"/>
              <w:rPr>
                <w:b/>
                <w:sz w:val="24"/>
              </w:rPr>
            </w:pPr>
            <w:r>
              <w:rPr>
                <w:b/>
                <w:sz w:val="24"/>
              </w:rPr>
              <w:t>Big Sandy LLC</w:t>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snapToGrid w:val="false"/>
              <w:rPr>
                <w:b/>
                <w:sz w:val="24"/>
              </w:rPr>
            </w:pPr>
            <w:r>
              <w:rPr>
                <w:b/>
                <w:sz w:val="24"/>
              </w:rPr>
            </w:r>
          </w:p>
        </w:tc>
        <w:tc>
          <w:tcPr>
            <w:tcW w:w="4788" w:type="dxa"/>
            <w:tcBorders/>
          </w:tcPr>
          <w:p>
            <w:pPr>
              <w:pStyle w:val="Normal"/>
              <w:keepNext w:val="true"/>
              <w:keepLines/>
              <w:widowControl/>
              <w:snapToGrid w:val="false"/>
              <w:rPr>
                <w:b/>
                <w:sz w:val="24"/>
              </w:rPr>
            </w:pPr>
            <w:r>
              <w:rPr>
                <w:b/>
                <w:sz w:val="24"/>
              </w:rPr>
            </w:r>
          </w:p>
        </w:tc>
      </w:tr>
      <w:tr>
        <w:trPr/>
        <w:tc>
          <w:tcPr>
            <w:tcW w:w="4788" w:type="dxa"/>
            <w:tcBorders/>
          </w:tcPr>
          <w:p>
            <w:pPr>
              <w:pStyle w:val="Normal"/>
              <w:keepNext w:val="true"/>
              <w:keepLines/>
              <w:widowControl/>
              <w:rPr>
                <w:b/>
                <w:sz w:val="24"/>
              </w:rPr>
            </w:pPr>
            <w:r>
              <w:rPr>
                <w:b/>
                <w:sz w:val="24"/>
              </w:rPr>
              <w:t>By:  _________________________________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By:  _________________________________</w:t>
            </w:r>
          </w:p>
        </w:tc>
      </w:tr>
      <w:tr>
        <w:trPr/>
        <w:tc>
          <w:tcPr>
            <w:tcW w:w="4788" w:type="dxa"/>
            <w:tcBorders/>
          </w:tcPr>
          <w:p>
            <w:pPr>
              <w:pStyle w:val="Normal"/>
              <w:keepNext w:val="true"/>
              <w:keepLines/>
              <w:widowControl/>
              <w:rPr>
                <w:b/>
                <w:sz w:val="24"/>
              </w:rPr>
            </w:pPr>
            <w:r>
              <w:rPr>
                <w:b/>
                <w:sz w:val="24"/>
              </w:rPr>
              <w:t>Printed Name:  _______________________</w:t>
            </w:r>
          </w:p>
          <w:p>
            <w:pPr>
              <w:pStyle w:val="Normal"/>
              <w:keepNext w:val="true"/>
              <w:keepLines/>
              <w:widowControl/>
              <w:rPr>
                <w:b/>
                <w:sz w:val="24"/>
              </w:rPr>
            </w:pPr>
            <w:r>
              <w:rPr>
                <w:b/>
                <w:sz w:val="24"/>
              </w:rPr>
            </w:r>
          </w:p>
        </w:tc>
        <w:tc>
          <w:tcPr>
            <w:tcW w:w="4788" w:type="dxa"/>
            <w:tcBorders/>
          </w:tcPr>
          <w:p>
            <w:pPr>
              <w:pStyle w:val="Normal"/>
              <w:keepNext w:val="true"/>
              <w:keepLines/>
              <w:widowControl/>
              <w:rPr>
                <w:b/>
                <w:sz w:val="24"/>
              </w:rPr>
            </w:pPr>
            <w:r>
              <w:rPr>
                <w:b/>
                <w:sz w:val="24"/>
              </w:rPr>
              <w:t>Printed Name:  _______________________</w:t>
            </w:r>
          </w:p>
        </w:tc>
      </w:tr>
      <w:tr>
        <w:trPr/>
        <w:tc>
          <w:tcPr>
            <w:tcW w:w="4788" w:type="dxa"/>
            <w:tcBorders/>
          </w:tcPr>
          <w:p>
            <w:pPr>
              <w:pStyle w:val="Normal"/>
              <w:keepNext w:val="true"/>
              <w:keepLines/>
              <w:widowControl/>
              <w:rPr>
                <w:b/>
                <w:sz w:val="24"/>
              </w:rPr>
            </w:pPr>
            <w:r>
              <w:rPr>
                <w:b/>
                <w:sz w:val="24"/>
              </w:rPr>
              <w:t>Title:  _______________________________</w:t>
            </w:r>
          </w:p>
        </w:tc>
        <w:tc>
          <w:tcPr>
            <w:tcW w:w="4788" w:type="dxa"/>
            <w:tcBorders/>
          </w:tcPr>
          <w:p>
            <w:pPr>
              <w:pStyle w:val="Normal"/>
              <w:keepNext w:val="true"/>
              <w:keepLines/>
              <w:widowControl/>
              <w:rPr>
                <w:b/>
                <w:sz w:val="24"/>
              </w:rPr>
            </w:pPr>
            <w:r>
              <w:rPr>
                <w:b/>
                <w:sz w:val="24"/>
              </w:rPr>
              <w:t>Title:  _______________________________</w:t>
            </w:r>
          </w:p>
        </w:tc>
      </w:tr>
    </w:tbl>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ind w:hanging="1440" w:start="1440" w:end="0"/>
        <w:rPr/>
      </w:pPr>
      <w:r>
        <w:rPr>
          <w:sz w:val="24"/>
          <w:u w:val="single"/>
        </w:rPr>
        <w:t>Exhibit A</w:t>
      </w:r>
      <w:r>
        <w:rPr>
          <w:sz w:val="24"/>
        </w:rPr>
        <w:t xml:space="preserve"> -</w:t>
        <w:tab/>
        <w:t>Detail of estimated costs relating to materials, equipment, contract labor, company labor, taxes and gas lost for installation of the Interconnect Facilities</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v:textbox>
              <w10:wrap type="square"/>
            </v:rect>
          </w:pict>
        </mc:Fallback>
      </mc:AlternateConten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center" w:pos="4680" w:leader="none"/>
        <w:tab w:val="right" w:pos="9270" w:leader="none"/>
      </w:tabs>
      <w:rPr/>
    </w:pPr>
    <w:r>
      <w:rPr>
        <w:rStyle w:val="PageNumber"/>
        <w:sz w:val="12"/>
      </w:rPr>
      <w:t>P:\legal\lhuber\Big Sandy Lateral\C &amp; O Agr v3</w:t>
    </w:r>
  </w:p>
  <w:p>
    <w:pPr>
      <w:pStyle w:val="Footer"/>
      <w:widowControl/>
      <w:tabs>
        <w:tab w:val="clear" w:pos="4320"/>
        <w:tab w:val="clear" w:pos="8640"/>
        <w:tab w:val="center" w:pos="4680" w:leader="none"/>
        <w:tab w:val="right" w:pos="9270" w:leader="none"/>
      </w:tabs>
      <w:rPr/>
    </w:pPr>
    <w:r>
      <w:rPr>
        <w:rStyle w:val="PageNumber"/>
        <w:sz w:val="12"/>
      </w:rPr>
      <w:fldChar w:fldCharType="begin"/>
    </w:r>
    <w:r>
      <w:rPr>
        <w:rStyle w:val="PageNumber"/>
        <w:sz w:val="12"/>
      </w:rPr>
      <w:instrText xml:space="preserve"> DATE \@"M\/d\/yyyy" </w:instrText>
    </w:r>
    <w:r>
      <w:rPr>
        <w:rStyle w:val="PageNumber"/>
        <w:sz w:val="12"/>
      </w:rPr>
      <w:fldChar w:fldCharType="separate"/>
    </w:r>
    <w:r>
      <w:rPr>
        <w:rStyle w:val="PageNumber"/>
        <w:sz w:val="12"/>
      </w:rPr>
      <w:t>9/28/2025</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4.%1 "/>
      <w:lvlJc w:val="start"/>
      <w:pPr>
        <w:tabs>
          <w:tab w:val="num" w:pos="360"/>
        </w:tabs>
        <w:ind w:start="360" w:hanging="360"/>
      </w:pPr>
      <w:rPr>
        <w:sz w:val="24"/>
        <w:i w:val="false"/>
        <w:u w:val="none"/>
        <w:b w:val="false"/>
        <w:rFonts w:ascii="Times New Roman" w:hAnsi="Times New Roman" w:cs="Times New Roman"/>
      </w:rPr>
    </w:lvl>
  </w:abstractNum>
  <w:abstractNum w:abstractNumId="3">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4"/>
      <w:numFmt w:val="decimal"/>
      <w:lvlText w:val="1.%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widowControl/>
      <w:numPr>
        <w:ilvl w:val="0"/>
        <w:numId w:val="1"/>
      </w:numPr>
      <w:jc w:val="center"/>
      <w:outlineLvl w:val="0"/>
    </w:pPr>
    <w:rPr>
      <w:b/>
      <w:sz w:val="24"/>
    </w:rPr>
  </w:style>
  <w:style w:type="paragraph" w:styleId="Heading2">
    <w:name w:val="heading 2"/>
    <w:basedOn w:val="Normal"/>
    <w:next w:val="Normal"/>
    <w:qFormat/>
    <w:pPr>
      <w:keepNext w:val="true"/>
      <w:keepLines/>
      <w:widowControl/>
      <w:numPr>
        <w:ilvl w:val="1"/>
        <w:numId w:val="1"/>
      </w:numPr>
      <w:jc w:val="center"/>
      <w:outlineLvl w:val="1"/>
    </w:pPr>
    <w:rPr>
      <w:b/>
      <w:sz w:val="24"/>
      <w:u w:val="single"/>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St3z0">
    <w:name w:val="WW8NumSt3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2001-09-20T16:10:00Z</dcterms:created>
  <dc:creator>kwatson</dc:creator>
  <dc:description/>
  <dc:language>en-CA</dc:language>
  <cp:lastModifiedBy>dlagesse</cp:lastModifiedBy>
  <cp:lastPrinted>2001-09-20T13:36:00Z</cp:lastPrinted>
  <dcterms:modified xsi:type="dcterms:W3CDTF">2001-09-20T16:10:00Z</dcterms:modified>
  <cp:revision>3</cp:revision>
  <dc:subject/>
  <dc:title>DRAFT</dc:title>
</cp:coreProperties>
</file>