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rPr/>
      </w:pPr>
      <w:r>
        <w:rPr>
          <w:rFonts w:cs="Arial" w:ascii="Arial" w:hAnsi="Arial"/>
          <w:sz w:val="24"/>
          <w:szCs w:val="24"/>
        </w:rPr>
        <w:t xml:space="preserve">C-FACTS has reviewed the RTO West pricing proposal presented by RTO West in Portland on December 19, 2001, and is concerned with the concept of creating a separate transmission use charge for new users of the transmission system that is different from the charges paid by incumbent utilities and their merchant functions.  CFACTS believes that creating different transmission access fees for non-incumbents and incumbent rights holders is in direct conflict with FERC’s adopted policies on comparability.  Comparability requires that transmission owners provide transmission service to all users of the system under the same terms and conditions.  This proposal creates two separate classes of transmission users with different rates and terms for using the same transmission system.  As such, the proposal is discriminatory and it highly unlikely that it would be approved by FERC. </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pPr>
      <w:r>
        <w:rPr>
          <w:rFonts w:cs="Arial" w:ascii="Arial" w:hAnsi="Arial"/>
          <w:sz w:val="24"/>
          <w:szCs w:val="24"/>
        </w:rPr>
        <w:t>CFACTS believes that the Stage 1 pricing proposal is a far superior alternative for RTO West to file with FERC.  If there are shortfalls of short-term revenues, CFACTS recommends that RTOW uplift these charges to all users of the system through a schedule-based uplift charge, rather than go down the path of creating a separate charge applicable only to non-incumbent users of the system.  CFACTS believes that utilities should be made whole for recovering the fixed costs of their transmission system and that the Stage one pricing proposal provides sufficient opportunity to do so.</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pPr>
      <w:r>
        <w:rPr>
          <w:rFonts w:cs="Arial" w:ascii="Arial" w:hAnsi="Arial"/>
          <w:sz w:val="24"/>
          <w:szCs w:val="24"/>
        </w:rPr>
        <w:t xml:space="preserve">CFACTS reminds RTO West that a fundamental aspect of the RTO West Stage 1 pricing proposal was that there should not be explicit wheeling charges applicable to wholesale transactions over or through the RTO boundaries.  The expectation was that revenues from congestion management (both congestion revenues and FTR auction revenues) would be sufficient to offset “lost revenue” from short term wheeling transactions.  However, changing the congestion management proposal to one in which there is unlikely to be any conversion of rights or any auction revenues from the sale of transmission rights eliminates the ability to collect congestion revenues to offset these lost revenues.  The revised pricing proposal contributes to the non conversion problem by, in effect, penalizing users that convert contracts and change their system use because they would be required to pay the transmission use charge. </w:t>
      </w:r>
    </w:p>
    <w:p>
      <w:pPr>
        <w:pStyle w:val="Normal"/>
        <w:spacing w:lineRule="auto" w:line="360"/>
        <w:rPr>
          <w:rFonts w:ascii="Arial" w:hAnsi="Arial" w:cs="Arial"/>
          <w:sz w:val="24"/>
          <w:szCs w:val="24"/>
        </w:rPr>
      </w:pPr>
      <w:r>
        <w:rPr>
          <w:rFonts w:cs="Arial" w:ascii="Arial" w:hAnsi="Arial"/>
          <w:sz w:val="24"/>
          <w:szCs w:val="24"/>
        </w:rPr>
      </w:r>
    </w:p>
    <w:p>
      <w:pPr>
        <w:pStyle w:val="Normal"/>
        <w:spacing w:lineRule="auto" w:line="360"/>
        <w:rPr>
          <w:rFonts w:ascii="Arial" w:hAnsi="Arial" w:cs="Arial"/>
          <w:sz w:val="24"/>
          <w:szCs w:val="24"/>
        </w:rPr>
      </w:pPr>
      <w:r>
        <w:rPr>
          <w:rFonts w:cs="Arial" w:ascii="Arial" w:hAnsi="Arial"/>
          <w:sz w:val="24"/>
          <w:szCs w:val="24"/>
        </w:rPr>
        <w:t>C-FACTS has the following specific concerns about this pricing proposal.</w:t>
      </w:r>
    </w:p>
    <w:p>
      <w:pPr>
        <w:pStyle w:val="Normal"/>
        <w:spacing w:lineRule="auto" w:line="360"/>
        <w:rPr>
          <w:rFonts w:ascii="Arial" w:hAnsi="Arial" w:cs="Arial"/>
          <w:sz w:val="24"/>
          <w:szCs w:val="24"/>
        </w:rPr>
      </w:pPr>
      <w:r>
        <w:rPr>
          <w:rFonts w:cs="Arial" w:ascii="Arial" w:hAnsi="Arial"/>
          <w:sz w:val="24"/>
          <w:szCs w:val="24"/>
        </w:rPr>
      </w:r>
    </w:p>
    <w:p>
      <w:pPr>
        <w:pStyle w:val="Normal"/>
        <w:numPr>
          <w:ilvl w:val="0"/>
          <w:numId w:val="1"/>
        </w:numPr>
        <w:spacing w:lineRule="auto" w:line="360"/>
        <w:rPr>
          <w:rFonts w:ascii="Arial" w:hAnsi="Arial" w:cs="Arial"/>
          <w:b/>
          <w:sz w:val="24"/>
          <w:szCs w:val="24"/>
        </w:rPr>
      </w:pPr>
      <w:r>
        <w:rPr>
          <w:rFonts w:cs="Arial" w:ascii="Arial" w:hAnsi="Arial"/>
          <w:b/>
          <w:sz w:val="24"/>
          <w:szCs w:val="24"/>
        </w:rPr>
        <w:t>It does not provide all users with comparable service</w:t>
      </w:r>
    </w:p>
    <w:p>
      <w:pPr>
        <w:pStyle w:val="Normal"/>
        <w:spacing w:lineRule="auto" w:line="360"/>
        <w:rPr/>
      </w:pPr>
      <w:r>
        <w:rPr>
          <w:rFonts w:cs="Arial" w:ascii="Arial" w:hAnsi="Arial"/>
          <w:sz w:val="24"/>
          <w:szCs w:val="24"/>
        </w:rPr>
        <w:t>CFACTS is concerned that RTO West has suggested that the absence of a transmission charge for non-incumbent users somehow constituted a disadvantage to incumbents who must recover transmission costs from all load through their company rates.  What this argument fails to point out is that company rates are recovered from all loads regardless of who provides the transmission service.  Other than losses, ancillary services, and RTO grid management charges (which non-incumbents also pay); incumbents do not incur a separate transmission charge to deliver to loads.  Thus, a separate charge for transmission used for a transaction by a non-incumbent would double collect transmission costs from non-incumbents, which would not result in comparable terms and conditions for using the system.  FERC policy clearly forbids double-collecting revenues (“and-pricing”).</w:t>
      </w:r>
    </w:p>
    <w:p>
      <w:pPr>
        <w:pStyle w:val="Normal"/>
        <w:numPr>
          <w:ilvl w:val="0"/>
          <w:numId w:val="1"/>
        </w:numPr>
        <w:spacing w:lineRule="auto" w:line="360"/>
        <w:rPr>
          <w:rFonts w:ascii="Arial" w:hAnsi="Arial" w:cs="Arial"/>
          <w:b/>
          <w:sz w:val="24"/>
          <w:szCs w:val="24"/>
        </w:rPr>
      </w:pPr>
      <w:r>
        <w:rPr>
          <w:rFonts w:cs="Arial" w:ascii="Arial" w:hAnsi="Arial"/>
          <w:b/>
          <w:sz w:val="24"/>
          <w:szCs w:val="24"/>
        </w:rPr>
        <w:t>It results in rate pancaking</w:t>
      </w:r>
    </w:p>
    <w:p>
      <w:pPr>
        <w:pStyle w:val="Normal"/>
        <w:spacing w:lineRule="auto" w:line="360"/>
        <w:rPr/>
      </w:pPr>
      <w:r>
        <w:rPr>
          <w:rFonts w:cs="Arial" w:ascii="Arial" w:hAnsi="Arial"/>
          <w:sz w:val="24"/>
          <w:szCs w:val="24"/>
        </w:rPr>
        <w:t>One of the primary concerns of FERC in setting up RTOs is the desire to eliminate pancaking of transmission rates.  The access charge would result in a pancaking of transmission charges from non-incumbent shippers.  Additionally, applying the charge to exports would result in pancaking of rates at the RTO seams.  CFACTS believes that neither of these results is likely to be acceptable to FERC.</w:t>
      </w:r>
    </w:p>
    <w:p>
      <w:pPr>
        <w:pStyle w:val="Normal"/>
        <w:numPr>
          <w:ilvl w:val="0"/>
          <w:numId w:val="1"/>
        </w:numPr>
        <w:spacing w:lineRule="auto" w:line="360"/>
        <w:rPr>
          <w:rFonts w:ascii="Arial" w:hAnsi="Arial" w:cs="Arial"/>
          <w:b/>
          <w:sz w:val="24"/>
          <w:szCs w:val="24"/>
        </w:rPr>
      </w:pPr>
      <w:r>
        <w:rPr>
          <w:rFonts w:cs="Arial" w:ascii="Arial" w:hAnsi="Arial"/>
          <w:b/>
          <w:sz w:val="24"/>
          <w:szCs w:val="24"/>
        </w:rPr>
        <w:t>It precludes economic transactions</w:t>
      </w:r>
    </w:p>
    <w:p>
      <w:pPr>
        <w:pStyle w:val="Normal"/>
        <w:spacing w:lineRule="auto" w:line="360"/>
        <w:rPr/>
      </w:pPr>
      <w:r>
        <w:rPr>
          <w:rFonts w:cs="Arial" w:ascii="Arial" w:hAnsi="Arial"/>
          <w:sz w:val="24"/>
          <w:szCs w:val="24"/>
        </w:rPr>
        <w:t>The transmission use charge of roughly $4.00/MWh would act as a barrier to cost-effective transactions while allowing affiliates of incumbents to collect “access charge” rents.  Any potential short term transactions with margins less than the access charge would not take place.  As a result, the PTOs would not receive their expected transmission revenues, lower cost resources would be unable to serve load, higher-cost generation would continue to operate when it would not otherwise be competitive, and the owners of that generation could extract higher prices reflecting the barrier to entry resulting from the transmission use charge.</w:t>
      </w:r>
    </w:p>
    <w:p>
      <w:pPr>
        <w:pStyle w:val="Normal"/>
        <w:numPr>
          <w:ilvl w:val="0"/>
          <w:numId w:val="1"/>
        </w:numPr>
        <w:spacing w:lineRule="auto" w:line="360"/>
        <w:rPr>
          <w:rFonts w:ascii="Arial" w:hAnsi="Arial" w:cs="Arial"/>
          <w:b/>
          <w:sz w:val="24"/>
          <w:szCs w:val="24"/>
        </w:rPr>
      </w:pPr>
      <w:r>
        <w:rPr>
          <w:rFonts w:cs="Arial" w:ascii="Arial" w:hAnsi="Arial"/>
          <w:b/>
          <w:sz w:val="24"/>
          <w:szCs w:val="24"/>
        </w:rPr>
        <w:t>With a functioning congestion management structure the transmission use charge is unnecessary.</w:t>
      </w:r>
    </w:p>
    <w:p>
      <w:pPr>
        <w:pStyle w:val="Normal"/>
        <w:spacing w:lineRule="auto" w:line="360"/>
        <w:rPr/>
      </w:pPr>
      <w:r>
        <w:rPr>
          <w:rFonts w:cs="Arial" w:ascii="Arial" w:hAnsi="Arial"/>
          <w:sz w:val="24"/>
          <w:szCs w:val="24"/>
        </w:rPr>
        <w:t xml:space="preserve">The basic premise behind implementing the transmission access charge is that the congestion management system proposed would significantly reduce both congestion revenues and FTO auction revenues.  A far superior solution is not to abandon the Stage 1 pricing model, but rather to develop a non-discriminatory congestion management process.  CFACTS believes that a vibrant transmission market with meaningful congestion management protocols would produce ample revenues to offset the loss of short term wheeling revenues. </w:t>
      </w:r>
    </w:p>
    <w:p>
      <w:pPr>
        <w:pStyle w:val="Normal"/>
        <w:spacing w:lineRule="auto" w:line="360"/>
        <w:rPr>
          <w:rFonts w:ascii="Arial" w:hAnsi="Arial" w:cs="Arial"/>
          <w:b/>
          <w:sz w:val="24"/>
          <w:szCs w:val="24"/>
        </w:rPr>
      </w:pPr>
      <w:r>
        <w:rPr>
          <w:rFonts w:cs="Arial" w:ascii="Arial" w:hAnsi="Arial"/>
          <w:b/>
          <w:sz w:val="24"/>
          <w:szCs w:val="24"/>
        </w:rPr>
      </w:r>
    </w:p>
    <w:p>
      <w:pPr>
        <w:pStyle w:val="Normal"/>
        <w:spacing w:lineRule="auto" w:line="360"/>
        <w:rPr>
          <w:rFonts w:ascii="Arial" w:hAnsi="Arial" w:cs="Arial"/>
          <w:b/>
          <w:sz w:val="24"/>
          <w:szCs w:val="24"/>
        </w:rPr>
      </w:pPr>
      <w:r>
        <w:rPr>
          <w:rFonts w:cs="Arial" w:ascii="Arial" w:hAnsi="Arial"/>
          <w:b/>
          <w:sz w:val="24"/>
          <w:szCs w:val="24"/>
        </w:rPr>
      </w:r>
    </w:p>
    <w:sectPr>
      <w:headerReference w:type="default" r:id="rId2"/>
      <w:headerReference w:type="first" r:id="rId3"/>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Arial" w:ascii="Arial" w:hAnsi="Arial"/>
        <w:sz w:val="24"/>
        <w:szCs w:val="24"/>
      </w:rPr>
      <w:t>CFACTS Pricing Comments</w:t>
      <w:tab/>
      <w:t xml:space="preserve">Page </w:t>
    </w:r>
    <w:r>
      <w:rPr>
        <w:rStyle w:val="PageNumber"/>
        <w:rFonts w:cs="Arial" w:ascii="Arial" w:hAnsi="Arial"/>
        <w:sz w:val="24"/>
        <w:szCs w:val="24"/>
      </w:rPr>
      <w:fldChar w:fldCharType="begin"/>
    </w:r>
    <w:r>
      <w:rPr>
        <w:rStyle w:val="PageNumber"/>
        <w:sz w:val="24"/>
        <w:szCs w:val="24"/>
        <w:rFonts w:cs="Arial" w:ascii="Arial" w:hAnsi="Arial"/>
      </w:rPr>
      <w:instrText xml:space="preserve"> PAGE </w:instrText>
    </w:r>
    <w:r>
      <w:rPr>
        <w:rStyle w:val="PageNumber"/>
        <w:sz w:val="24"/>
        <w:szCs w:val="24"/>
        <w:rFonts w:cs="Arial" w:ascii="Arial" w:hAnsi="Arial"/>
      </w:rPr>
      <w:fldChar w:fldCharType="separate"/>
    </w:r>
    <w:r>
      <w:rPr>
        <w:rStyle w:val="PageNumber"/>
        <w:sz w:val="24"/>
        <w:szCs w:val="24"/>
        <w:rFonts w:cs="Arial" w:ascii="Arial" w:hAnsi="Arial"/>
      </w:rPr>
      <w:t>3</w:t>
    </w:r>
    <w:r>
      <w:rPr>
        <w:rStyle w:val="PageNumber"/>
        <w:sz w:val="24"/>
        <w:szCs w:val="24"/>
        <w:rFonts w:cs="Arial" w:ascii="Arial" w:hAnsi="Arial"/>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sz w:val="24"/>
        <w:szCs w:val="24"/>
      </w:rPr>
    </w:pPr>
    <w:r>
      <w:rPr>
        <w:rFonts w:cs="Arial" w:ascii="Arial" w:hAnsi="Arial"/>
        <w:b/>
        <w:sz w:val="24"/>
        <w:szCs w:val="24"/>
      </w:rPr>
      <w:t>C-FACTS Comments on RTO West Pricing Proposal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2002-01-11T12:50:00Z</dcterms:created>
  <dc:creator>Phillip Muller</dc:creator>
  <dc:description/>
  <dc:language>en-CA</dc:language>
  <cp:lastModifiedBy>Phillip Muller</cp:lastModifiedBy>
  <cp:lastPrinted>2002-01-09T14:22:00Z</cp:lastPrinted>
  <dcterms:modified xsi:type="dcterms:W3CDTF">2002-01-11T12:51:00Z</dcterms:modified>
  <cp:revision>3</cp:revision>
  <dc:subject/>
  <dc:title>A fundamental aspect of the RTO West Stage 1 pricing proposal was that there should not be explicit wheeling charges applicabl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-736555242</vt:r8>
  </property>
  <property fmtid="{D5CDD505-2E9C-101B-9397-08002B2CF9AE}" pid="3" name="_AuthorEmail">
    <vt:lpwstr>philm@SCDEnergy.com</vt:lpwstr>
  </property>
  <property fmtid="{D5CDD505-2E9C-101B-9397-08002B2CF9AE}" pid="4" name="_AuthorEmailDisplayName">
    <vt:lpwstr>Phillip Muller</vt:lpwstr>
  </property>
  <property fmtid="{D5CDD505-2E9C-101B-9397-08002B2CF9AE}" pid="5" name="_EmailSubject">
    <vt:lpwstr>CFACTS Comments on RTO West White Papers</vt:lpwstr>
  </property>
  <property fmtid="{D5CDD505-2E9C-101B-9397-08002B2CF9AE}" pid="6" name="_PreviousAdHocReviewCycleID">
    <vt:r8>-736555242</vt:r8>
  </property>
</Properties>
</file>